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BC" w:rsidRPr="005D40AD" w:rsidRDefault="00A13628" w:rsidP="00EB38E6">
      <w:pPr>
        <w:jc w:val="center"/>
        <w:rPr>
          <w:lang w:val="en-GB"/>
        </w:rPr>
      </w:pPr>
      <w:bookmarkStart w:id="0" w:name="_GoBack"/>
      <w:bookmarkEnd w:id="0"/>
      <w:r w:rsidRPr="005D40AD">
        <w:rPr>
          <w:noProof/>
        </w:rPr>
        <w:drawing>
          <wp:inline distT="0" distB="0" distL="0" distR="0" wp14:anchorId="066F93AF" wp14:editId="018143CB">
            <wp:extent cx="58197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600200"/>
                    </a:xfrm>
                    <a:prstGeom prst="rect">
                      <a:avLst/>
                    </a:prstGeom>
                    <a:noFill/>
                    <a:ln>
                      <a:noFill/>
                    </a:ln>
                  </pic:spPr>
                </pic:pic>
              </a:graphicData>
            </a:graphic>
          </wp:inline>
        </w:drawing>
      </w:r>
    </w:p>
    <w:p w:rsidR="005D40AD" w:rsidRPr="005D40AD" w:rsidRDefault="00746EB6" w:rsidP="00746EB6">
      <w:pPr>
        <w:autoSpaceDE w:val="0"/>
        <w:ind w:hanging="11"/>
        <w:jc w:val="right"/>
        <w:rPr>
          <w:b/>
          <w:bCs/>
          <w:lang w:val="en-GB"/>
        </w:rPr>
      </w:pPr>
      <w:r>
        <w:rPr>
          <w:b/>
          <w:bCs/>
          <w:lang w:val="en-GB"/>
        </w:rPr>
        <w:t xml:space="preserve"> </w:t>
      </w:r>
    </w:p>
    <w:p w:rsidR="000F7E70" w:rsidRPr="005D40AD" w:rsidRDefault="000F7E70" w:rsidP="00EB38E6">
      <w:pPr>
        <w:autoSpaceDE w:val="0"/>
        <w:ind w:hanging="11"/>
        <w:jc w:val="center"/>
        <w:rPr>
          <w:b/>
          <w:bCs/>
          <w:lang w:val="en-GB"/>
        </w:rPr>
      </w:pPr>
      <w:r w:rsidRPr="005D40AD">
        <w:rPr>
          <w:b/>
          <w:bCs/>
          <w:lang w:val="en-GB"/>
        </w:rPr>
        <w:t>OPINION</w:t>
      </w:r>
      <w:r w:rsidR="00127910" w:rsidRPr="005D40AD">
        <w:rPr>
          <w:b/>
          <w:bCs/>
          <w:lang w:val="en-GB"/>
        </w:rPr>
        <w:t xml:space="preserve">  </w:t>
      </w:r>
    </w:p>
    <w:p w:rsidR="003A217C" w:rsidRPr="005D40AD" w:rsidRDefault="003A217C" w:rsidP="000F7E70">
      <w:pPr>
        <w:autoSpaceDE w:val="0"/>
        <w:jc w:val="both"/>
        <w:rPr>
          <w:b/>
          <w:bCs/>
          <w:lang w:val="en-GB"/>
        </w:rPr>
      </w:pPr>
    </w:p>
    <w:p w:rsidR="00746EB6" w:rsidRPr="00C83F67" w:rsidRDefault="00746EB6" w:rsidP="00746EB6">
      <w:pPr>
        <w:autoSpaceDE w:val="0"/>
        <w:jc w:val="both"/>
        <w:rPr>
          <w:b/>
          <w:bCs/>
          <w:lang w:val="en-GB"/>
        </w:rPr>
      </w:pPr>
      <w:r w:rsidRPr="00C83F67">
        <w:rPr>
          <w:b/>
          <w:bCs/>
          <w:lang w:val="en-GB"/>
        </w:rPr>
        <w:t xml:space="preserve">Date of adoption: </w:t>
      </w:r>
      <w:r w:rsidR="00FC5C24">
        <w:rPr>
          <w:b/>
          <w:bCs/>
          <w:lang w:val="en-GB"/>
        </w:rPr>
        <w:t>12</w:t>
      </w:r>
      <w:r>
        <w:rPr>
          <w:b/>
          <w:bCs/>
          <w:lang w:val="en-GB"/>
        </w:rPr>
        <w:t xml:space="preserve"> December </w:t>
      </w:r>
      <w:r w:rsidRPr="00C83F67">
        <w:rPr>
          <w:b/>
          <w:bCs/>
          <w:lang w:val="en-GB"/>
        </w:rPr>
        <w:t>2015</w:t>
      </w:r>
    </w:p>
    <w:p w:rsidR="00746EB6" w:rsidRPr="00C83F67" w:rsidRDefault="00746EB6" w:rsidP="00746EB6">
      <w:pPr>
        <w:autoSpaceDE w:val="0"/>
        <w:jc w:val="both"/>
        <w:rPr>
          <w:b/>
          <w:bCs/>
          <w:lang w:val="en-GB"/>
        </w:rPr>
      </w:pPr>
    </w:p>
    <w:p w:rsidR="00746EB6" w:rsidRDefault="00746EB6" w:rsidP="00746EB6">
      <w:pPr>
        <w:autoSpaceDE w:val="0"/>
        <w:autoSpaceDN w:val="0"/>
        <w:adjustRightInd w:val="0"/>
        <w:jc w:val="both"/>
        <w:rPr>
          <w:b/>
          <w:bCs/>
          <w:lang w:val="en-GB"/>
        </w:rPr>
      </w:pPr>
      <w:r>
        <w:rPr>
          <w:b/>
          <w:bCs/>
          <w:lang w:val="en-GB"/>
        </w:rPr>
        <w:t>Case No. 283/09</w:t>
      </w:r>
    </w:p>
    <w:p w:rsidR="00746EB6" w:rsidRDefault="00746EB6" w:rsidP="00746EB6">
      <w:pPr>
        <w:autoSpaceDE w:val="0"/>
        <w:autoSpaceDN w:val="0"/>
        <w:adjustRightInd w:val="0"/>
        <w:jc w:val="both"/>
        <w:rPr>
          <w:b/>
          <w:bCs/>
          <w:lang w:val="en-GB"/>
        </w:rPr>
      </w:pPr>
    </w:p>
    <w:p w:rsidR="00746EB6" w:rsidRDefault="00746EB6" w:rsidP="00746EB6">
      <w:pPr>
        <w:autoSpaceDE w:val="0"/>
        <w:autoSpaceDN w:val="0"/>
        <w:adjustRightInd w:val="0"/>
        <w:jc w:val="both"/>
        <w:rPr>
          <w:b/>
          <w:bCs/>
          <w:lang w:val="en-GB"/>
        </w:rPr>
      </w:pPr>
      <w:proofErr w:type="spellStart"/>
      <w:r>
        <w:rPr>
          <w:b/>
          <w:bCs/>
          <w:lang w:val="en-GB"/>
        </w:rPr>
        <w:t>Predrag</w:t>
      </w:r>
      <w:proofErr w:type="spellEnd"/>
      <w:r>
        <w:rPr>
          <w:b/>
          <w:bCs/>
          <w:lang w:val="en-GB"/>
        </w:rPr>
        <w:t xml:space="preserve"> JOKSIMOVIĆ</w:t>
      </w:r>
    </w:p>
    <w:p w:rsidR="002D428F" w:rsidRPr="005D40AD" w:rsidRDefault="002D428F" w:rsidP="002D428F">
      <w:pPr>
        <w:autoSpaceDE w:val="0"/>
        <w:autoSpaceDN w:val="0"/>
        <w:adjustRightInd w:val="0"/>
        <w:jc w:val="both"/>
        <w:rPr>
          <w:b/>
          <w:bCs/>
          <w:lang w:val="en-GB"/>
        </w:rPr>
      </w:pPr>
    </w:p>
    <w:p w:rsidR="002D428F" w:rsidRPr="005D40AD" w:rsidRDefault="002D428F" w:rsidP="002D428F">
      <w:pPr>
        <w:autoSpaceDE w:val="0"/>
        <w:autoSpaceDN w:val="0"/>
        <w:adjustRightInd w:val="0"/>
        <w:jc w:val="both"/>
        <w:rPr>
          <w:b/>
          <w:bCs/>
          <w:lang w:val="en-GB"/>
        </w:rPr>
      </w:pPr>
      <w:proofErr w:type="gramStart"/>
      <w:r w:rsidRPr="005D40AD">
        <w:rPr>
          <w:b/>
          <w:bCs/>
          <w:lang w:val="en-GB"/>
        </w:rPr>
        <w:t>against</w:t>
      </w:r>
      <w:proofErr w:type="gramEnd"/>
    </w:p>
    <w:p w:rsidR="002D428F" w:rsidRPr="005D40AD" w:rsidRDefault="002D428F" w:rsidP="002D428F">
      <w:pPr>
        <w:autoSpaceDE w:val="0"/>
        <w:autoSpaceDN w:val="0"/>
        <w:adjustRightInd w:val="0"/>
        <w:jc w:val="both"/>
        <w:rPr>
          <w:b/>
          <w:bCs/>
          <w:lang w:val="en-GB"/>
        </w:rPr>
      </w:pPr>
    </w:p>
    <w:p w:rsidR="002D428F" w:rsidRPr="005D40AD" w:rsidRDefault="002D428F" w:rsidP="002D428F">
      <w:pPr>
        <w:autoSpaceDE w:val="0"/>
        <w:autoSpaceDN w:val="0"/>
        <w:adjustRightInd w:val="0"/>
        <w:jc w:val="both"/>
        <w:rPr>
          <w:b/>
          <w:bCs/>
          <w:lang w:val="en-GB"/>
        </w:rPr>
      </w:pPr>
      <w:r w:rsidRPr="005D40AD">
        <w:rPr>
          <w:b/>
          <w:bCs/>
          <w:lang w:val="en-GB"/>
        </w:rPr>
        <w:t xml:space="preserve">UNMIK </w:t>
      </w:r>
    </w:p>
    <w:p w:rsidR="00E07C8C" w:rsidRPr="005D40AD" w:rsidRDefault="00E07C8C" w:rsidP="000F7E70">
      <w:pPr>
        <w:autoSpaceDE w:val="0"/>
        <w:jc w:val="both"/>
        <w:rPr>
          <w:b/>
          <w:bCs/>
          <w:lang w:val="en-GB"/>
        </w:rPr>
      </w:pPr>
    </w:p>
    <w:p w:rsidR="004202B2" w:rsidRPr="005D40AD" w:rsidRDefault="004202B2" w:rsidP="000F7E70">
      <w:pPr>
        <w:autoSpaceDE w:val="0"/>
        <w:jc w:val="both"/>
        <w:rPr>
          <w:b/>
          <w:bCs/>
          <w:lang w:val="en-GB"/>
        </w:rPr>
      </w:pPr>
    </w:p>
    <w:p w:rsidR="000C2AEF" w:rsidRPr="005D40AD" w:rsidRDefault="000C2AEF" w:rsidP="000C2AEF">
      <w:pPr>
        <w:autoSpaceDE w:val="0"/>
        <w:jc w:val="both"/>
      </w:pPr>
      <w:r w:rsidRPr="005D40AD">
        <w:t xml:space="preserve">The Human Rights Advisory Panel, sitting on </w:t>
      </w:r>
      <w:r w:rsidR="00FC5C24">
        <w:t xml:space="preserve">12 December </w:t>
      </w:r>
      <w:r w:rsidRPr="005D40AD">
        <w:t>2015,</w:t>
      </w:r>
    </w:p>
    <w:p w:rsidR="000C2AEF" w:rsidRPr="005D40AD" w:rsidRDefault="000C2AEF" w:rsidP="000C2AEF">
      <w:pPr>
        <w:autoSpaceDE w:val="0"/>
        <w:jc w:val="both"/>
      </w:pPr>
      <w:proofErr w:type="gramStart"/>
      <w:r w:rsidRPr="005D40AD">
        <w:t>with</w:t>
      </w:r>
      <w:proofErr w:type="gramEnd"/>
      <w:r w:rsidRPr="005D40AD">
        <w:t xml:space="preserve"> the following members present:</w:t>
      </w:r>
    </w:p>
    <w:p w:rsidR="000C2AEF" w:rsidRPr="005D40AD" w:rsidRDefault="000C2AEF" w:rsidP="000C2AEF">
      <w:pPr>
        <w:autoSpaceDE w:val="0"/>
        <w:jc w:val="both"/>
      </w:pPr>
    </w:p>
    <w:p w:rsidR="000C2AEF" w:rsidRPr="005D40AD" w:rsidRDefault="000C2AEF" w:rsidP="000C2AEF">
      <w:pPr>
        <w:autoSpaceDE w:val="0"/>
        <w:jc w:val="both"/>
      </w:pPr>
      <w:r w:rsidRPr="005D40AD">
        <w:t>Marek Nowicki, Presiding Member</w:t>
      </w:r>
    </w:p>
    <w:p w:rsidR="000C2AEF" w:rsidRPr="005D40AD" w:rsidRDefault="000C2AEF" w:rsidP="000C2AEF">
      <w:pPr>
        <w:autoSpaceDE w:val="0"/>
        <w:jc w:val="both"/>
      </w:pPr>
      <w:r w:rsidRPr="005D40AD">
        <w:t>Christine Chinkin</w:t>
      </w:r>
    </w:p>
    <w:p w:rsidR="000C2AEF" w:rsidRPr="005D40AD" w:rsidRDefault="000C2AEF" w:rsidP="000C2AEF">
      <w:pPr>
        <w:autoSpaceDE w:val="0"/>
        <w:jc w:val="both"/>
      </w:pPr>
      <w:r w:rsidRPr="005D40AD">
        <w:t>Françoise Tulkens</w:t>
      </w:r>
    </w:p>
    <w:p w:rsidR="000C2AEF" w:rsidRPr="005D40AD" w:rsidRDefault="000C2AEF" w:rsidP="000C2AEF">
      <w:pPr>
        <w:autoSpaceDE w:val="0"/>
        <w:jc w:val="both"/>
      </w:pPr>
    </w:p>
    <w:p w:rsidR="000C2AEF" w:rsidRPr="005D40AD" w:rsidRDefault="000C2AEF" w:rsidP="000C2AEF">
      <w:pPr>
        <w:autoSpaceDE w:val="0"/>
        <w:jc w:val="both"/>
      </w:pPr>
      <w:r w:rsidRPr="005D40AD">
        <w:t>Assisted by</w:t>
      </w:r>
    </w:p>
    <w:p w:rsidR="000C2AEF" w:rsidRPr="005D40AD" w:rsidRDefault="000C2AEF" w:rsidP="000C2AEF">
      <w:pPr>
        <w:autoSpaceDE w:val="0"/>
        <w:jc w:val="both"/>
      </w:pPr>
      <w:r w:rsidRPr="005D40AD">
        <w:t>Andrey Antonov, Executive Officer</w:t>
      </w:r>
    </w:p>
    <w:p w:rsidR="000C2AEF" w:rsidRPr="005D40AD" w:rsidRDefault="000C2AEF" w:rsidP="000C2AEF">
      <w:pPr>
        <w:autoSpaceDE w:val="0"/>
        <w:jc w:val="both"/>
      </w:pPr>
    </w:p>
    <w:p w:rsidR="000C2AEF" w:rsidRPr="005D40AD" w:rsidRDefault="000C2AEF" w:rsidP="000C2AEF">
      <w:pPr>
        <w:autoSpaceDE w:val="0"/>
        <w:autoSpaceDN w:val="0"/>
        <w:adjustRightInd w:val="0"/>
        <w:jc w:val="both"/>
      </w:pPr>
      <w:r w:rsidRPr="005D40AD">
        <w:t>Having considered the aforementioned complaint, introduced pursuant to Section 1.2 of UNMIK Regulation No. 2006/12 of 23 March 2006 on the Establishment of the Human Rights Advisory Panel,</w:t>
      </w:r>
    </w:p>
    <w:p w:rsidR="000C2AEF" w:rsidRPr="005D40AD" w:rsidRDefault="000C2AEF" w:rsidP="000C2AEF">
      <w:pPr>
        <w:autoSpaceDE w:val="0"/>
        <w:autoSpaceDN w:val="0"/>
        <w:adjustRightInd w:val="0"/>
        <w:jc w:val="both"/>
      </w:pPr>
    </w:p>
    <w:p w:rsidR="000C2AEF" w:rsidRPr="005D40AD" w:rsidRDefault="000C2AEF" w:rsidP="000C2AEF">
      <w:pPr>
        <w:autoSpaceDE w:val="0"/>
        <w:autoSpaceDN w:val="0"/>
        <w:adjustRightInd w:val="0"/>
        <w:jc w:val="both"/>
      </w:pPr>
      <w:r w:rsidRPr="005D40AD">
        <w:t>Having deliberated, makes the following findings and recommendations:</w:t>
      </w:r>
    </w:p>
    <w:p w:rsidR="00EC2041" w:rsidRPr="005D40AD" w:rsidRDefault="00EC2041" w:rsidP="00301DAC">
      <w:pPr>
        <w:autoSpaceDE w:val="0"/>
        <w:jc w:val="both"/>
        <w:rPr>
          <w:lang w:val="en-GB"/>
        </w:rPr>
      </w:pPr>
    </w:p>
    <w:p w:rsidR="003A217C" w:rsidRPr="005D40AD" w:rsidRDefault="003A217C" w:rsidP="000F7E70">
      <w:pPr>
        <w:autoSpaceDE w:val="0"/>
        <w:jc w:val="both"/>
        <w:rPr>
          <w:lang w:val="en-GB"/>
        </w:rPr>
      </w:pPr>
    </w:p>
    <w:p w:rsidR="0016154E" w:rsidRPr="005D40AD" w:rsidRDefault="0016154E" w:rsidP="00B50188">
      <w:pPr>
        <w:numPr>
          <w:ilvl w:val="0"/>
          <w:numId w:val="1"/>
        </w:numPr>
        <w:suppressAutoHyphens/>
        <w:autoSpaceDE w:val="0"/>
        <w:ind w:left="360" w:hanging="360"/>
        <w:jc w:val="both"/>
        <w:rPr>
          <w:b/>
          <w:bCs/>
          <w:lang w:val="en-GB"/>
        </w:rPr>
      </w:pPr>
      <w:r w:rsidRPr="005D40AD">
        <w:rPr>
          <w:b/>
          <w:bCs/>
          <w:lang w:val="en-GB"/>
        </w:rPr>
        <w:t>PROCEEDINGS BEFORE THE PANEL</w:t>
      </w:r>
    </w:p>
    <w:p w:rsidR="00E327E1" w:rsidRPr="005D40AD" w:rsidRDefault="00E327E1" w:rsidP="00E327E1">
      <w:pPr>
        <w:pStyle w:val="Default"/>
        <w:ind w:left="360"/>
        <w:jc w:val="both"/>
        <w:rPr>
          <w:color w:val="auto"/>
          <w:lang w:val="en-GB"/>
        </w:rPr>
      </w:pPr>
    </w:p>
    <w:p w:rsidR="00746EB6" w:rsidRPr="00BB555C" w:rsidRDefault="00746EB6" w:rsidP="00746EB6">
      <w:pPr>
        <w:pStyle w:val="Default"/>
        <w:numPr>
          <w:ilvl w:val="0"/>
          <w:numId w:val="2"/>
        </w:numPr>
        <w:jc w:val="both"/>
        <w:rPr>
          <w:lang w:val="en-GB"/>
        </w:rPr>
      </w:pPr>
      <w:r w:rsidRPr="00BB555C">
        <w:rPr>
          <w:lang w:val="en-GB"/>
        </w:rPr>
        <w:t xml:space="preserve">The complaint was introduced on 3 April 2009 and registered on 30 April 2009. </w:t>
      </w:r>
    </w:p>
    <w:p w:rsidR="00746EB6" w:rsidRPr="00BB555C" w:rsidRDefault="00746EB6" w:rsidP="00746EB6">
      <w:pPr>
        <w:pStyle w:val="Default"/>
        <w:ind w:left="360"/>
        <w:jc w:val="both"/>
        <w:rPr>
          <w:lang w:val="en-GB"/>
        </w:rPr>
      </w:pPr>
    </w:p>
    <w:p w:rsidR="00746EB6" w:rsidRPr="00BB555C" w:rsidRDefault="00746EB6" w:rsidP="00746EB6">
      <w:pPr>
        <w:widowControl w:val="0"/>
        <w:numPr>
          <w:ilvl w:val="0"/>
          <w:numId w:val="2"/>
        </w:numPr>
        <w:tabs>
          <w:tab w:val="left" w:pos="1080"/>
        </w:tabs>
        <w:suppressAutoHyphens/>
        <w:jc w:val="both"/>
      </w:pPr>
      <w:r w:rsidRPr="00BB555C">
        <w:rPr>
          <w:lang w:val="en-GB"/>
        </w:rPr>
        <w:t xml:space="preserve">On 23 December 2009, the Panel requested further information from the complainant. </w:t>
      </w:r>
    </w:p>
    <w:p w:rsidR="00746EB6" w:rsidRPr="00BB555C" w:rsidRDefault="00746EB6" w:rsidP="00746EB6">
      <w:pPr>
        <w:pStyle w:val="Default"/>
        <w:numPr>
          <w:ilvl w:val="0"/>
          <w:numId w:val="2"/>
        </w:numPr>
        <w:jc w:val="both"/>
        <w:rPr>
          <w:lang w:val="en-GB"/>
        </w:rPr>
      </w:pPr>
      <w:r w:rsidRPr="00BB555C">
        <w:rPr>
          <w:lang w:val="en-GB"/>
        </w:rPr>
        <w:lastRenderedPageBreak/>
        <w:t>On 4 April 2012, the Panel communicated the case to the Special Representative of the Secretary-General (SRSG)</w:t>
      </w:r>
      <w:r w:rsidR="000233A4" w:rsidRPr="00BB555C">
        <w:rPr>
          <w:rStyle w:val="FootnoteReference"/>
          <w:lang w:val="en-GB"/>
        </w:rPr>
        <w:footnoteReference w:id="1"/>
      </w:r>
      <w:r w:rsidRPr="00BB555C">
        <w:rPr>
          <w:lang w:val="en-GB"/>
        </w:rPr>
        <w:t xml:space="preserve"> for UNMIK’s comments on the admissibility of the case. On 3 May 2012, the SRSG submitted UNMIK’s response.</w:t>
      </w:r>
    </w:p>
    <w:p w:rsidR="00746EB6" w:rsidRPr="00BB555C" w:rsidRDefault="00746EB6" w:rsidP="00746EB6">
      <w:pPr>
        <w:pStyle w:val="Default"/>
        <w:ind w:left="360"/>
        <w:jc w:val="both"/>
        <w:rPr>
          <w:lang w:val="en-GB"/>
        </w:rPr>
      </w:pPr>
    </w:p>
    <w:p w:rsidR="00746EB6" w:rsidRPr="00BB555C" w:rsidRDefault="00746EB6" w:rsidP="00746EB6">
      <w:pPr>
        <w:numPr>
          <w:ilvl w:val="0"/>
          <w:numId w:val="2"/>
        </w:numPr>
        <w:jc w:val="both"/>
        <w:rPr>
          <w:b/>
          <w:lang w:val="en-GB"/>
        </w:rPr>
      </w:pPr>
      <w:r w:rsidRPr="00BB555C">
        <w:rPr>
          <w:lang w:val="en-GB"/>
        </w:rPr>
        <w:t>On 23 August 2012, the Panel declared the complaint admissible</w:t>
      </w:r>
      <w:r w:rsidRPr="00BB555C">
        <w:t>.</w:t>
      </w:r>
    </w:p>
    <w:p w:rsidR="00746EB6" w:rsidRPr="00BB555C" w:rsidRDefault="00746EB6" w:rsidP="00746EB6">
      <w:pPr>
        <w:pStyle w:val="Default"/>
        <w:ind w:left="360"/>
        <w:jc w:val="both"/>
        <w:rPr>
          <w:color w:val="auto"/>
          <w:lang w:val="en-GB"/>
        </w:rPr>
      </w:pPr>
    </w:p>
    <w:p w:rsidR="00746EB6" w:rsidRPr="00BB555C" w:rsidRDefault="00746EB6" w:rsidP="00746EB6">
      <w:pPr>
        <w:widowControl w:val="0"/>
        <w:numPr>
          <w:ilvl w:val="0"/>
          <w:numId w:val="2"/>
        </w:numPr>
        <w:tabs>
          <w:tab w:val="left" w:pos="1080"/>
        </w:tabs>
        <w:suppressAutoHyphens/>
        <w:jc w:val="both"/>
        <w:rPr>
          <w:lang w:val="en-GB"/>
        </w:rPr>
      </w:pPr>
      <w:r w:rsidRPr="00BB555C">
        <w:rPr>
          <w:lang w:val="en-GB"/>
        </w:rPr>
        <w:t xml:space="preserve">On 7 September 2012, the Panel forwarded its decision to the SRSG requesting UNMIK’s comments on the merits of the complaint, as well as copies of the investigative files relevant to the case. </w:t>
      </w:r>
    </w:p>
    <w:p w:rsidR="00746EB6" w:rsidRPr="00DF3D6E" w:rsidRDefault="00746EB6" w:rsidP="00746EB6">
      <w:pPr>
        <w:widowControl w:val="0"/>
        <w:tabs>
          <w:tab w:val="left" w:pos="1080"/>
        </w:tabs>
        <w:suppressAutoHyphens/>
        <w:jc w:val="both"/>
        <w:rPr>
          <w:highlight w:val="yellow"/>
          <w:lang w:val="en-GB"/>
        </w:rPr>
      </w:pPr>
    </w:p>
    <w:p w:rsidR="00746EB6" w:rsidRPr="00BB555C" w:rsidRDefault="00746EB6" w:rsidP="00746EB6">
      <w:pPr>
        <w:widowControl w:val="0"/>
        <w:numPr>
          <w:ilvl w:val="0"/>
          <w:numId w:val="2"/>
        </w:numPr>
        <w:tabs>
          <w:tab w:val="left" w:pos="1080"/>
        </w:tabs>
        <w:suppressAutoHyphens/>
        <w:jc w:val="both"/>
        <w:rPr>
          <w:lang w:val="en-GB"/>
        </w:rPr>
      </w:pPr>
      <w:bookmarkStart w:id="1" w:name="_Ref414013744"/>
      <w:r w:rsidRPr="00BB555C">
        <w:rPr>
          <w:lang w:val="en-GB"/>
        </w:rPr>
        <w:t>On 19 October 2015, the SRSG provided UNMIK’s comments on the merits of the complaint, together with a two-page copy of an initial incident report and an explanation that no files were received from EULEX.</w:t>
      </w:r>
      <w:bookmarkEnd w:id="1"/>
    </w:p>
    <w:p w:rsidR="00E527E9" w:rsidRPr="00BB555C" w:rsidRDefault="00E527E9" w:rsidP="00E527E9">
      <w:pPr>
        <w:pStyle w:val="ListParagraph"/>
        <w:rPr>
          <w:lang w:val="en-GB"/>
        </w:rPr>
      </w:pPr>
    </w:p>
    <w:p w:rsidR="00E527E9" w:rsidRPr="00BB555C" w:rsidRDefault="00E527E9" w:rsidP="00E527E9">
      <w:pPr>
        <w:widowControl w:val="0"/>
        <w:numPr>
          <w:ilvl w:val="0"/>
          <w:numId w:val="2"/>
        </w:numPr>
        <w:tabs>
          <w:tab w:val="left" w:pos="1080"/>
        </w:tabs>
        <w:suppressAutoHyphens/>
        <w:jc w:val="both"/>
        <w:rPr>
          <w:lang w:val="en-GB"/>
        </w:rPr>
      </w:pPr>
      <w:r w:rsidRPr="00BB555C">
        <w:rPr>
          <w:lang w:val="en-GB"/>
        </w:rPr>
        <w:t>On 25 No</w:t>
      </w:r>
      <w:r w:rsidR="007719C7" w:rsidRPr="00BB555C">
        <w:rPr>
          <w:lang w:val="en-GB"/>
        </w:rPr>
        <w:t>vember 2015, the c</w:t>
      </w:r>
      <w:r w:rsidRPr="00BB555C">
        <w:rPr>
          <w:lang w:val="en-GB"/>
        </w:rPr>
        <w:t xml:space="preserve">omplainant provided additional </w:t>
      </w:r>
      <w:r w:rsidR="006203E2" w:rsidRPr="00BB555C">
        <w:rPr>
          <w:lang w:val="en-GB"/>
        </w:rPr>
        <w:t xml:space="preserve">information to </w:t>
      </w:r>
      <w:r w:rsidRPr="00BB555C">
        <w:rPr>
          <w:lang w:val="en-GB"/>
        </w:rPr>
        <w:t>the Panel.</w:t>
      </w:r>
    </w:p>
    <w:p w:rsidR="00746EB6" w:rsidRPr="00DF3D6E" w:rsidRDefault="00746EB6" w:rsidP="00746EB6">
      <w:pPr>
        <w:pStyle w:val="ListParagraph"/>
        <w:rPr>
          <w:highlight w:val="yellow"/>
          <w:lang w:val="en-GB"/>
        </w:rPr>
      </w:pPr>
    </w:p>
    <w:p w:rsidR="00746EB6" w:rsidRPr="00BB555C" w:rsidRDefault="00746EB6" w:rsidP="00746EB6">
      <w:pPr>
        <w:pStyle w:val="Default"/>
        <w:numPr>
          <w:ilvl w:val="0"/>
          <w:numId w:val="2"/>
        </w:numPr>
        <w:jc w:val="both"/>
        <w:rPr>
          <w:color w:val="auto"/>
          <w:lang w:val="en-GB"/>
        </w:rPr>
      </w:pPr>
      <w:bookmarkStart w:id="2" w:name="_Ref414013761"/>
      <w:r w:rsidRPr="00BB555C">
        <w:rPr>
          <w:color w:val="auto"/>
          <w:lang w:val="en-GB"/>
        </w:rPr>
        <w:t xml:space="preserve">On </w:t>
      </w:r>
      <w:r w:rsidR="00B42968" w:rsidRPr="00BB555C">
        <w:rPr>
          <w:color w:val="auto"/>
          <w:lang w:val="en-GB"/>
        </w:rPr>
        <w:t xml:space="preserve">26 November </w:t>
      </w:r>
      <w:r w:rsidRPr="00BB555C">
        <w:rPr>
          <w:color w:val="auto"/>
          <w:lang w:val="en-GB"/>
        </w:rPr>
        <w:t xml:space="preserve">2015, the Panel requested UNMIK to confirm if the disclosure of files concerning the case could be considered final. On </w:t>
      </w:r>
      <w:r w:rsidR="00B42968" w:rsidRPr="00BB555C">
        <w:rPr>
          <w:color w:val="auto"/>
          <w:lang w:val="en-GB"/>
        </w:rPr>
        <w:t xml:space="preserve">27 November </w:t>
      </w:r>
      <w:r w:rsidRPr="00BB555C">
        <w:rPr>
          <w:color w:val="auto"/>
          <w:lang w:val="en-GB"/>
        </w:rPr>
        <w:t>2015, UNMIK provided its response confirming that it has disclosed all available files.</w:t>
      </w:r>
      <w:bookmarkEnd w:id="2"/>
    </w:p>
    <w:p w:rsidR="00121E9E" w:rsidRPr="005D40AD" w:rsidRDefault="00121E9E" w:rsidP="001F3C32">
      <w:pPr>
        <w:rPr>
          <w:lang w:val="en-GB"/>
        </w:rPr>
      </w:pPr>
    </w:p>
    <w:p w:rsidR="00121E9E" w:rsidRPr="005D40AD" w:rsidRDefault="00121E9E" w:rsidP="008766C9">
      <w:pPr>
        <w:pStyle w:val="ListParagraph"/>
        <w:rPr>
          <w:lang w:val="en-GB"/>
        </w:rPr>
      </w:pPr>
    </w:p>
    <w:p w:rsidR="000F6E16" w:rsidRPr="005D40AD" w:rsidRDefault="007C65E0" w:rsidP="00B50188">
      <w:pPr>
        <w:numPr>
          <w:ilvl w:val="0"/>
          <w:numId w:val="1"/>
        </w:numPr>
        <w:suppressAutoHyphens/>
        <w:autoSpaceDE w:val="0"/>
        <w:ind w:left="360" w:hanging="360"/>
        <w:jc w:val="both"/>
        <w:rPr>
          <w:b/>
          <w:bCs/>
          <w:lang w:val="en-GB"/>
        </w:rPr>
      </w:pPr>
      <w:r w:rsidRPr="005D40AD">
        <w:rPr>
          <w:b/>
          <w:bCs/>
          <w:lang w:val="en-GB"/>
        </w:rPr>
        <w:t>THE FACTS</w:t>
      </w:r>
    </w:p>
    <w:p w:rsidR="000F6E16" w:rsidRPr="005D40AD" w:rsidRDefault="000F6E16" w:rsidP="000F6E16">
      <w:pPr>
        <w:suppressAutoHyphens/>
        <w:autoSpaceDE w:val="0"/>
        <w:ind w:left="360"/>
        <w:jc w:val="both"/>
        <w:rPr>
          <w:b/>
          <w:bCs/>
          <w:lang w:val="en-GB"/>
        </w:rPr>
      </w:pPr>
    </w:p>
    <w:p w:rsidR="00680EF0" w:rsidRPr="005D40AD" w:rsidRDefault="00680EF0" w:rsidP="00B50188">
      <w:pPr>
        <w:numPr>
          <w:ilvl w:val="0"/>
          <w:numId w:val="3"/>
        </w:numPr>
        <w:contextualSpacing/>
        <w:jc w:val="both"/>
        <w:rPr>
          <w:b/>
          <w:lang w:val="en-GB"/>
        </w:rPr>
      </w:pPr>
      <w:r w:rsidRPr="005D40AD">
        <w:rPr>
          <w:b/>
          <w:lang w:val="en-GB"/>
        </w:rPr>
        <w:t>General background</w:t>
      </w:r>
      <w:r w:rsidRPr="005D40AD">
        <w:rPr>
          <w:rStyle w:val="FootnoteReference"/>
          <w:b/>
          <w:lang w:val="en-GB"/>
        </w:rPr>
        <w:footnoteReference w:id="2"/>
      </w:r>
      <w:r w:rsidRPr="005D40AD">
        <w:rPr>
          <w:b/>
          <w:lang w:val="en-GB"/>
        </w:rPr>
        <w:t xml:space="preserve"> </w:t>
      </w:r>
    </w:p>
    <w:p w:rsidR="00680EF0" w:rsidRPr="005D40AD" w:rsidRDefault="00680EF0" w:rsidP="00680EF0">
      <w:pPr>
        <w:ind w:left="360"/>
        <w:contextualSpacing/>
        <w:jc w:val="both"/>
        <w:rPr>
          <w:b/>
          <w:lang w:val="en-GB"/>
        </w:rPr>
      </w:pPr>
    </w:p>
    <w:p w:rsidR="00574094" w:rsidRPr="005D40AD" w:rsidRDefault="00574094" w:rsidP="00574094">
      <w:pPr>
        <w:pStyle w:val="ListParagraph"/>
        <w:numPr>
          <w:ilvl w:val="0"/>
          <w:numId w:val="2"/>
        </w:numPr>
        <w:jc w:val="both"/>
        <w:rPr>
          <w:lang w:val="en-GB"/>
        </w:rPr>
      </w:pPr>
      <w:r w:rsidRPr="005D40AD">
        <w:rPr>
          <w:lang w:val="en-GB"/>
        </w:rPr>
        <w:t>The events at issue took place in the territory of Kosovo</w:t>
      </w:r>
      <w:r w:rsidR="002948A6" w:rsidRPr="005D40AD">
        <w:rPr>
          <w:lang w:val="en-GB"/>
        </w:rPr>
        <w:t xml:space="preserve"> </w:t>
      </w:r>
      <w:r w:rsidR="00144AF1" w:rsidRPr="005D40AD">
        <w:rPr>
          <w:lang w:val="en-GB"/>
        </w:rPr>
        <w:t xml:space="preserve">shortly </w:t>
      </w:r>
      <w:r w:rsidR="00BC568C" w:rsidRPr="005D40AD">
        <w:rPr>
          <w:lang w:val="en-GB"/>
        </w:rPr>
        <w:t>after</w:t>
      </w:r>
      <w:r w:rsidRPr="005D40AD">
        <w:rPr>
          <w:lang w:val="en-GB"/>
        </w:rPr>
        <w:t xml:space="preserve"> the establishment in June 1999 of the United Nations Interim Administration Mission in Kosovo (UNMIK).</w:t>
      </w:r>
    </w:p>
    <w:p w:rsidR="00C75A82" w:rsidRPr="005D40AD" w:rsidRDefault="00C75A82" w:rsidP="00C75A82">
      <w:pPr>
        <w:tabs>
          <w:tab w:val="left" w:pos="360"/>
        </w:tabs>
        <w:ind w:left="360" w:hanging="360"/>
        <w:jc w:val="both"/>
        <w:rPr>
          <w:lang w:val="en-GB"/>
        </w:rPr>
      </w:pPr>
    </w:p>
    <w:p w:rsidR="00C75A82" w:rsidRPr="005D40AD" w:rsidRDefault="00C75A82" w:rsidP="00B50188">
      <w:pPr>
        <w:widowControl w:val="0"/>
        <w:numPr>
          <w:ilvl w:val="0"/>
          <w:numId w:val="2"/>
        </w:numPr>
        <w:tabs>
          <w:tab w:val="left" w:pos="1080"/>
        </w:tabs>
        <w:suppressAutoHyphens/>
        <w:jc w:val="both"/>
        <w:rPr>
          <w:lang w:val="en-GB"/>
        </w:rPr>
      </w:pPr>
      <w:r w:rsidRPr="005D40AD">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t>
      </w:r>
      <w:r w:rsidRPr="005D40AD">
        <w:rPr>
          <w:lang w:val="en-GB"/>
        </w:rPr>
        <w:lastRenderedPageBreak/>
        <w:t>which they agreed on FRY withdrawal from Kosovo and the presence of an international security force following an appropriate UN Security Council Resolution.</w:t>
      </w:r>
    </w:p>
    <w:p w:rsidR="00C75A82" w:rsidRPr="005D40AD" w:rsidRDefault="00C75A82" w:rsidP="00C75A82">
      <w:pPr>
        <w:tabs>
          <w:tab w:val="left" w:pos="360"/>
        </w:tabs>
        <w:ind w:left="360" w:hanging="360"/>
        <w:jc w:val="both"/>
        <w:rPr>
          <w:lang w:val="en-GB"/>
        </w:rPr>
      </w:pPr>
    </w:p>
    <w:p w:rsidR="00C75A82" w:rsidRPr="005D40AD" w:rsidRDefault="00FE0FB0" w:rsidP="00FE0FB0">
      <w:pPr>
        <w:pStyle w:val="ListParagraph"/>
        <w:numPr>
          <w:ilvl w:val="0"/>
          <w:numId w:val="2"/>
        </w:numPr>
        <w:suppressAutoHyphens w:val="0"/>
        <w:contextualSpacing/>
        <w:jc w:val="both"/>
        <w:rPr>
          <w:lang w:val="en-GB"/>
        </w:rPr>
      </w:pPr>
      <w:bookmarkStart w:id="3" w:name="_Ref373941473"/>
      <w:r w:rsidRPr="005D40AD">
        <w:rPr>
          <w:lang w:val="en-GB"/>
        </w:rPr>
        <w:t>O</w:t>
      </w:r>
      <w:r w:rsidR="00C75A82" w:rsidRPr="005D40AD">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5D40AD" w:rsidRDefault="00C75A82" w:rsidP="00C75A82">
      <w:pPr>
        <w:tabs>
          <w:tab w:val="left" w:pos="360"/>
        </w:tabs>
        <w:ind w:left="360" w:hanging="360"/>
        <w:jc w:val="both"/>
        <w:rPr>
          <w:lang w:val="en-GB"/>
        </w:rPr>
      </w:pPr>
    </w:p>
    <w:p w:rsidR="00C75A82" w:rsidRPr="005D40AD" w:rsidRDefault="00C75A82" w:rsidP="00B50188">
      <w:pPr>
        <w:pStyle w:val="ListParagraph"/>
        <w:numPr>
          <w:ilvl w:val="0"/>
          <w:numId w:val="2"/>
        </w:numPr>
        <w:suppressAutoHyphens w:val="0"/>
        <w:contextualSpacing/>
        <w:jc w:val="both"/>
        <w:rPr>
          <w:lang w:val="en-GB"/>
        </w:rPr>
      </w:pPr>
      <w:r w:rsidRPr="005D40A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during the conflict, returned to Kosovo. </w:t>
      </w:r>
    </w:p>
    <w:p w:rsidR="00C75A82" w:rsidRPr="005D40AD" w:rsidRDefault="00C75A82" w:rsidP="00C75A82">
      <w:pPr>
        <w:pStyle w:val="ListParagraph"/>
        <w:tabs>
          <w:tab w:val="left" w:pos="360"/>
        </w:tabs>
        <w:ind w:left="360" w:hanging="360"/>
        <w:rPr>
          <w:lang w:val="en-GB"/>
        </w:rPr>
      </w:pPr>
    </w:p>
    <w:p w:rsidR="00C75A82" w:rsidRPr="005D40AD" w:rsidRDefault="00C75A82" w:rsidP="00B50188">
      <w:pPr>
        <w:pStyle w:val="ListParagraph"/>
        <w:numPr>
          <w:ilvl w:val="0"/>
          <w:numId w:val="2"/>
        </w:numPr>
        <w:suppressAutoHyphens w:val="0"/>
        <w:contextualSpacing/>
        <w:jc w:val="both"/>
        <w:rPr>
          <w:lang w:val="en-GB"/>
        </w:rPr>
      </w:pPr>
      <w:r w:rsidRPr="005D40AD">
        <w:rPr>
          <w:lang w:val="en-GB"/>
        </w:rPr>
        <w:t>Meanwhile, members of the non-Albanian community – mainly but not exclusively Serb</w:t>
      </w:r>
      <w:r w:rsidR="00AD0BB3" w:rsidRPr="005D40AD">
        <w:rPr>
          <w:lang w:val="en-GB"/>
        </w:rPr>
        <w:t>ians</w:t>
      </w:r>
      <w:r w:rsidRPr="005D40AD">
        <w:rPr>
          <w:lang w:val="en-GB"/>
        </w:rPr>
        <w:t xml:space="preserve">,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5D40AD" w:rsidRDefault="00C75A82" w:rsidP="00C75A82">
      <w:pPr>
        <w:pStyle w:val="ListParagraph"/>
        <w:tabs>
          <w:tab w:val="left" w:pos="360"/>
        </w:tabs>
        <w:ind w:left="360" w:hanging="360"/>
        <w:rPr>
          <w:lang w:val="en-GB"/>
        </w:rPr>
      </w:pPr>
    </w:p>
    <w:p w:rsidR="00C75A82" w:rsidRPr="005D40AD" w:rsidRDefault="00C75A82" w:rsidP="00B50188">
      <w:pPr>
        <w:pStyle w:val="ListParagraph"/>
        <w:numPr>
          <w:ilvl w:val="0"/>
          <w:numId w:val="2"/>
        </w:numPr>
        <w:suppressAutoHyphens w:val="0"/>
        <w:contextualSpacing/>
        <w:jc w:val="both"/>
        <w:rPr>
          <w:lang w:val="en-GB"/>
        </w:rPr>
      </w:pPr>
      <w:r w:rsidRPr="005D40AD">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w:t>
      </w:r>
      <w:r w:rsidR="00D5312D" w:rsidRPr="005D40AD">
        <w:rPr>
          <w:lang w:val="en-GB"/>
        </w:rPr>
        <w:t xml:space="preserve"> by the end of 2010, while 1,653</w:t>
      </w:r>
      <w:r w:rsidRPr="005D40AD">
        <w:rPr>
          <w:lang w:val="en-GB"/>
        </w:rPr>
        <w:t xml:space="preserve"> are listed as still missing by the International Committee of the Red Cross (ICRC) as of </w:t>
      </w:r>
      <w:r w:rsidR="00D5312D" w:rsidRPr="005D40AD">
        <w:rPr>
          <w:lang w:val="en-GB"/>
        </w:rPr>
        <w:t>May 2015</w:t>
      </w:r>
      <w:r w:rsidRPr="005D40AD">
        <w:rPr>
          <w:lang w:val="en-GB"/>
        </w:rPr>
        <w:t>.</w:t>
      </w:r>
    </w:p>
    <w:p w:rsidR="00C75A82" w:rsidRPr="005D40AD" w:rsidRDefault="00C75A82" w:rsidP="00C75A82">
      <w:pPr>
        <w:tabs>
          <w:tab w:val="left" w:pos="360"/>
        </w:tabs>
        <w:ind w:left="360" w:hanging="360"/>
        <w:jc w:val="both"/>
        <w:rPr>
          <w:lang w:val="en-GB"/>
        </w:rPr>
      </w:pPr>
    </w:p>
    <w:p w:rsidR="00C75A82" w:rsidRPr="005D40AD" w:rsidRDefault="00C75A82" w:rsidP="00B50188">
      <w:pPr>
        <w:numPr>
          <w:ilvl w:val="0"/>
          <w:numId w:val="2"/>
        </w:numPr>
        <w:jc w:val="both"/>
        <w:rPr>
          <w:lang w:val="en-GB"/>
        </w:rPr>
      </w:pPr>
      <w:r w:rsidRPr="005D40AD">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5D40AD" w:rsidRDefault="00C75A82" w:rsidP="00C75A82">
      <w:pPr>
        <w:pStyle w:val="ListParagraph"/>
        <w:tabs>
          <w:tab w:val="left" w:pos="360"/>
        </w:tabs>
        <w:ind w:left="360" w:hanging="360"/>
        <w:rPr>
          <w:lang w:val="en-GB"/>
        </w:rPr>
      </w:pPr>
    </w:p>
    <w:p w:rsidR="00C75A82" w:rsidRPr="005D40AD" w:rsidRDefault="00C75A82" w:rsidP="00B50188">
      <w:pPr>
        <w:numPr>
          <w:ilvl w:val="0"/>
          <w:numId w:val="2"/>
        </w:numPr>
        <w:jc w:val="both"/>
        <w:rPr>
          <w:lang w:val="en-GB"/>
        </w:rPr>
      </w:pPr>
      <w:bookmarkStart w:id="4" w:name="_Ref346725038"/>
      <w:r w:rsidRPr="005D40AD">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5D40AD">
        <w:rPr>
          <w:lang w:val="en-GB"/>
        </w:rPr>
        <w:t xml:space="preserve"> </w:t>
      </w:r>
    </w:p>
    <w:p w:rsidR="00C75A82" w:rsidRPr="005D40AD" w:rsidRDefault="00C75A82" w:rsidP="00C75A82">
      <w:pPr>
        <w:tabs>
          <w:tab w:val="left" w:pos="360"/>
        </w:tabs>
        <w:ind w:left="360" w:hanging="360"/>
        <w:jc w:val="both"/>
        <w:rPr>
          <w:lang w:val="en-GB"/>
        </w:rPr>
      </w:pPr>
    </w:p>
    <w:p w:rsidR="00C75A82" w:rsidRPr="005D40AD" w:rsidRDefault="00C75A82" w:rsidP="00B50188">
      <w:pPr>
        <w:numPr>
          <w:ilvl w:val="0"/>
          <w:numId w:val="2"/>
        </w:numPr>
        <w:jc w:val="both"/>
        <w:rPr>
          <w:lang w:val="en-GB"/>
        </w:rPr>
      </w:pPr>
      <w:bookmarkStart w:id="5" w:name="_Ref346123767"/>
      <w:r w:rsidRPr="005D40AD">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5D40AD">
        <w:rPr>
          <w:lang w:val="en-GB"/>
        </w:rPr>
        <w:t xml:space="preserve"> </w:t>
      </w:r>
    </w:p>
    <w:p w:rsidR="00C75A82" w:rsidRPr="005D40AD" w:rsidRDefault="00C75A82" w:rsidP="00C75A82">
      <w:pPr>
        <w:tabs>
          <w:tab w:val="left" w:pos="360"/>
        </w:tabs>
        <w:ind w:left="360" w:hanging="360"/>
        <w:jc w:val="both"/>
        <w:rPr>
          <w:lang w:val="en-GB"/>
        </w:rPr>
      </w:pPr>
    </w:p>
    <w:p w:rsidR="003E157B" w:rsidRPr="00CD582C" w:rsidRDefault="003E157B" w:rsidP="003E157B">
      <w:pPr>
        <w:numPr>
          <w:ilvl w:val="0"/>
          <w:numId w:val="2"/>
        </w:numPr>
        <w:jc w:val="both"/>
        <w:rPr>
          <w:color w:val="000000" w:themeColor="text1"/>
          <w:lang w:val="en-GB"/>
        </w:rPr>
      </w:pPr>
      <w:r w:rsidRPr="00CD582C">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CD582C">
        <w:rPr>
          <w:color w:val="000000" w:themeColor="text1"/>
          <w:lang w:val="en-GB"/>
        </w:rPr>
        <w:t>persons</w:t>
      </w:r>
      <w:proofErr w:type="gramEnd"/>
      <w:r w:rsidRPr="00CD582C">
        <w:rPr>
          <w:color w:val="000000" w:themeColor="text1"/>
          <w:lang w:val="en-GB"/>
        </w:rPr>
        <w:t xml:space="preserve"> cases in Kosovo. In May 2000, a Victim Recovery and Identification Commission (VRIC) chaired by UNMIK was created for the recovery, identification and disposition of mortal remains.</w:t>
      </w:r>
      <w:r>
        <w:rPr>
          <w:color w:val="000000" w:themeColor="text1"/>
          <w:lang w:val="en-GB"/>
        </w:rPr>
        <w:t xml:space="preserve"> </w:t>
      </w:r>
      <w:r w:rsidRPr="00180311">
        <w:rPr>
          <w:lang w:val="en-GB"/>
        </w:rPr>
        <w:t xml:space="preserve">A specialised Bureau for Detainees and Missing Persons (BDMP), responsible for centralising information received by civilian officers, was established within the Office of the SRSG. </w:t>
      </w:r>
      <w:r w:rsidRPr="00CD582C">
        <w:rPr>
          <w:color w:val="000000" w:themeColor="text1"/>
          <w:lang w:val="en-GB"/>
        </w:rPr>
        <w:t>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w:t>
      </w:r>
      <w:r>
        <w:rPr>
          <w:color w:val="000000" w:themeColor="text1"/>
          <w:lang w:val="en-GB"/>
        </w:rPr>
        <w:t>ies</w:t>
      </w:r>
      <w:r w:rsidRPr="00CD582C">
        <w:rPr>
          <w:color w:val="000000" w:themeColor="text1"/>
          <w:lang w:val="en-GB"/>
        </w:rPr>
        <w:t xml:space="preserve"> of the missing.</w:t>
      </w:r>
      <w:r w:rsidRPr="00C17E2D">
        <w:rPr>
          <w:lang w:val="en-GB"/>
        </w:rPr>
        <w:t xml:space="preserve"> </w:t>
      </w:r>
      <w:r w:rsidRPr="00180311">
        <w:rPr>
          <w:lang w:val="en-GB"/>
        </w:rPr>
        <w:t xml:space="preserve">All information collected by the BDMP was transferred to the OMPF. </w:t>
      </w:r>
      <w:r w:rsidRPr="00CD582C">
        <w:rPr>
          <w:color w:val="000000" w:themeColor="text1"/>
          <w:lang w:val="en-GB"/>
        </w:rPr>
        <w:t xml:space="preserve"> Starting from 2001, based on a Memorandum of Understanding (</w:t>
      </w:r>
      <w:proofErr w:type="spellStart"/>
      <w:r w:rsidRPr="00CD582C">
        <w:rPr>
          <w:color w:val="000000" w:themeColor="text1"/>
          <w:lang w:val="en-GB"/>
        </w:rPr>
        <w:t>MoU</w:t>
      </w:r>
      <w:proofErr w:type="spellEnd"/>
      <w:r w:rsidRPr="00CD582C">
        <w:rPr>
          <w:color w:val="000000" w:themeColor="text1"/>
          <w:lang w:val="en-GB"/>
        </w:rPr>
        <w:t>) between UNMIK and the Sarajevo-based International Commission of Missing Persons (ICMP), supplemented by a further agreement in 2003, the identification of mortal remains was carried out b</w:t>
      </w:r>
      <w:r w:rsidR="005133A1">
        <w:rPr>
          <w:color w:val="000000" w:themeColor="text1"/>
          <w:lang w:val="en-GB"/>
        </w:rPr>
        <w:t>y the ICMP through DNA testing.</w:t>
      </w:r>
    </w:p>
    <w:p w:rsidR="00C75A82" w:rsidRPr="005D40AD" w:rsidRDefault="00C75A82" w:rsidP="00C75A82">
      <w:pPr>
        <w:tabs>
          <w:tab w:val="left" w:pos="360"/>
        </w:tabs>
        <w:ind w:left="360" w:hanging="360"/>
        <w:jc w:val="both"/>
        <w:rPr>
          <w:lang w:val="en-GB"/>
        </w:rPr>
      </w:pPr>
    </w:p>
    <w:p w:rsidR="00C75A82" w:rsidRPr="005D40AD" w:rsidRDefault="00C75A82" w:rsidP="00B50188">
      <w:pPr>
        <w:numPr>
          <w:ilvl w:val="0"/>
          <w:numId w:val="2"/>
        </w:numPr>
        <w:jc w:val="both"/>
        <w:rPr>
          <w:lang w:val="en-GB"/>
        </w:rPr>
      </w:pPr>
      <w:bookmarkStart w:id="6" w:name="_Ref346123927"/>
      <w:r w:rsidRPr="005D40AD">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6"/>
    </w:p>
    <w:p w:rsidR="00C75A82" w:rsidRPr="005D40AD" w:rsidRDefault="00C75A82" w:rsidP="00C75A82">
      <w:pPr>
        <w:pStyle w:val="ListParagraph"/>
        <w:tabs>
          <w:tab w:val="left" w:pos="360"/>
        </w:tabs>
        <w:ind w:left="360" w:hanging="360"/>
        <w:rPr>
          <w:lang w:val="en-GB"/>
        </w:rPr>
      </w:pPr>
    </w:p>
    <w:p w:rsidR="00680EF0" w:rsidRPr="005D40AD" w:rsidRDefault="00C75A82" w:rsidP="00B50188">
      <w:pPr>
        <w:numPr>
          <w:ilvl w:val="0"/>
          <w:numId w:val="2"/>
        </w:numPr>
        <w:jc w:val="both"/>
        <w:rPr>
          <w:lang w:val="en-GB"/>
        </w:rPr>
      </w:pPr>
      <w:bookmarkStart w:id="7" w:name="_Ref346123928"/>
      <w:r w:rsidRPr="005D40AD">
        <w:rPr>
          <w:lang w:val="en-GB"/>
        </w:rPr>
        <w:t xml:space="preserve">On the same date, UNMIK and EULEX signed a </w:t>
      </w:r>
      <w:proofErr w:type="spellStart"/>
      <w:r w:rsidRPr="005D40AD">
        <w:rPr>
          <w:lang w:val="en-GB"/>
        </w:rPr>
        <w:t>MoU</w:t>
      </w:r>
      <w:proofErr w:type="spellEnd"/>
      <w:r w:rsidRPr="005D40AD">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5D40AD">
        <w:rPr>
          <w:lang w:val="en-GB"/>
        </w:rPr>
        <w:t xml:space="preserve">supposed to be </w:t>
      </w:r>
      <w:r w:rsidRPr="005D40AD">
        <w:rPr>
          <w:lang w:val="en-GB"/>
        </w:rPr>
        <w:t>handed over to EULEX.</w:t>
      </w:r>
      <w:bookmarkEnd w:id="7"/>
    </w:p>
    <w:p w:rsidR="00242881" w:rsidRPr="005D40AD" w:rsidRDefault="00242881" w:rsidP="00A73D67">
      <w:pPr>
        <w:ind w:left="360"/>
        <w:jc w:val="both"/>
        <w:rPr>
          <w:lang w:val="en-GB"/>
        </w:rPr>
      </w:pPr>
    </w:p>
    <w:p w:rsidR="00746EB6" w:rsidRPr="00C83F67" w:rsidRDefault="00746EB6" w:rsidP="00746EB6">
      <w:pPr>
        <w:pStyle w:val="ListParagraph"/>
        <w:numPr>
          <w:ilvl w:val="0"/>
          <w:numId w:val="3"/>
        </w:numPr>
        <w:autoSpaceDE w:val="0"/>
        <w:jc w:val="both"/>
        <w:rPr>
          <w:lang w:val="en-GB"/>
        </w:rPr>
      </w:pPr>
      <w:bookmarkStart w:id="8" w:name="_Ref389154703"/>
      <w:r w:rsidRPr="00C83F67">
        <w:rPr>
          <w:b/>
          <w:bCs/>
          <w:lang w:val="en-GB"/>
        </w:rPr>
        <w:t xml:space="preserve">Circumstances surrounding the </w:t>
      </w:r>
      <w:r w:rsidR="006203E2">
        <w:rPr>
          <w:b/>
          <w:bCs/>
          <w:lang w:val="en-GB"/>
        </w:rPr>
        <w:t xml:space="preserve">abduction </w:t>
      </w:r>
      <w:r>
        <w:rPr>
          <w:b/>
          <w:bCs/>
          <w:lang w:val="en-GB"/>
        </w:rPr>
        <w:t xml:space="preserve">and </w:t>
      </w:r>
      <w:r w:rsidR="00E527E9">
        <w:rPr>
          <w:b/>
          <w:bCs/>
          <w:lang w:val="en-GB"/>
        </w:rPr>
        <w:t>killing</w:t>
      </w:r>
      <w:r w:rsidRPr="00C83F67">
        <w:rPr>
          <w:b/>
          <w:bCs/>
          <w:lang w:val="en-GB"/>
        </w:rPr>
        <w:t xml:space="preserve"> of </w:t>
      </w:r>
      <w:r w:rsidRPr="00EE1F5B">
        <w:rPr>
          <w:b/>
          <w:lang w:val="en-GB"/>
        </w:rPr>
        <w:t xml:space="preserve">Mr </w:t>
      </w:r>
      <w:proofErr w:type="spellStart"/>
      <w:r w:rsidRPr="00EE1F5B">
        <w:rPr>
          <w:b/>
          <w:lang w:val="en-GB"/>
        </w:rPr>
        <w:t>Momčilo</w:t>
      </w:r>
      <w:proofErr w:type="spellEnd"/>
      <w:r w:rsidRPr="00EE1F5B">
        <w:rPr>
          <w:b/>
          <w:lang w:val="en-GB"/>
        </w:rPr>
        <w:t xml:space="preserve"> </w:t>
      </w:r>
      <w:proofErr w:type="spellStart"/>
      <w:r w:rsidRPr="00EE1F5B">
        <w:rPr>
          <w:b/>
          <w:lang w:val="en-GB"/>
        </w:rPr>
        <w:t>Joksimović</w:t>
      </w:r>
      <w:proofErr w:type="spellEnd"/>
      <w:r>
        <w:rPr>
          <w:b/>
          <w:lang w:val="en-GB"/>
        </w:rPr>
        <w:t>.</w:t>
      </w:r>
    </w:p>
    <w:p w:rsidR="00746EB6" w:rsidRPr="00C83F67" w:rsidRDefault="00746EB6" w:rsidP="00746EB6">
      <w:pPr>
        <w:pStyle w:val="ListParagraph"/>
        <w:autoSpaceDE w:val="0"/>
        <w:ind w:left="360"/>
        <w:jc w:val="both"/>
        <w:rPr>
          <w:lang w:val="en-GB"/>
        </w:rPr>
      </w:pPr>
    </w:p>
    <w:p w:rsidR="00746EB6" w:rsidRPr="00BB555C" w:rsidRDefault="00746EB6" w:rsidP="00746EB6">
      <w:pPr>
        <w:numPr>
          <w:ilvl w:val="0"/>
          <w:numId w:val="2"/>
        </w:numPr>
        <w:jc w:val="both"/>
        <w:rPr>
          <w:lang w:val="en-GB"/>
        </w:rPr>
      </w:pPr>
      <w:r w:rsidRPr="00BB555C">
        <w:rPr>
          <w:lang w:val="en-GB"/>
        </w:rPr>
        <w:t xml:space="preserve">The complainant is the son of Mr </w:t>
      </w:r>
      <w:proofErr w:type="spellStart"/>
      <w:r w:rsidRPr="00BB555C">
        <w:rPr>
          <w:lang w:val="en-GB"/>
        </w:rPr>
        <w:t>Momčilo</w:t>
      </w:r>
      <w:proofErr w:type="spellEnd"/>
      <w:r w:rsidRPr="00BB555C">
        <w:rPr>
          <w:lang w:val="en-GB"/>
        </w:rPr>
        <w:t xml:space="preserve"> </w:t>
      </w:r>
      <w:proofErr w:type="spellStart"/>
      <w:r w:rsidRPr="00BB555C">
        <w:rPr>
          <w:lang w:val="en-GB"/>
        </w:rPr>
        <w:t>Joksimović</w:t>
      </w:r>
      <w:proofErr w:type="spellEnd"/>
      <w:r w:rsidRPr="00BB555C">
        <w:rPr>
          <w:lang w:val="en-GB"/>
        </w:rPr>
        <w:t xml:space="preserve">. </w:t>
      </w:r>
    </w:p>
    <w:p w:rsidR="00746EB6" w:rsidRPr="00BB555C" w:rsidRDefault="00746EB6" w:rsidP="00746EB6">
      <w:pPr>
        <w:ind w:left="360"/>
        <w:jc w:val="both"/>
        <w:rPr>
          <w:lang w:val="en-GB"/>
        </w:rPr>
      </w:pPr>
    </w:p>
    <w:p w:rsidR="00746EB6" w:rsidRPr="00BB555C" w:rsidRDefault="00746EB6" w:rsidP="00746EB6">
      <w:pPr>
        <w:numPr>
          <w:ilvl w:val="0"/>
          <w:numId w:val="2"/>
        </w:numPr>
        <w:jc w:val="both"/>
        <w:rPr>
          <w:lang w:val="en-GB"/>
        </w:rPr>
      </w:pPr>
      <w:bookmarkStart w:id="9" w:name="_Ref437263801"/>
      <w:r w:rsidRPr="00BB555C">
        <w:rPr>
          <w:lang w:val="en-GB"/>
        </w:rPr>
        <w:t xml:space="preserve">The complainant states that on 7 November 1999, Mr </w:t>
      </w:r>
      <w:proofErr w:type="spellStart"/>
      <w:r w:rsidRPr="00BB555C">
        <w:rPr>
          <w:lang w:val="en-GB"/>
        </w:rPr>
        <w:t>Momčilo</w:t>
      </w:r>
      <w:proofErr w:type="spellEnd"/>
      <w:r w:rsidRPr="00BB555C">
        <w:rPr>
          <w:lang w:val="en-GB"/>
        </w:rPr>
        <w:t xml:space="preserve"> </w:t>
      </w:r>
      <w:proofErr w:type="spellStart"/>
      <w:r w:rsidRPr="00BB555C">
        <w:rPr>
          <w:lang w:val="en-GB"/>
        </w:rPr>
        <w:t>Joksimović</w:t>
      </w:r>
      <w:proofErr w:type="spellEnd"/>
      <w:r w:rsidRPr="00BB555C">
        <w:rPr>
          <w:lang w:val="en-GB"/>
        </w:rPr>
        <w:t xml:space="preserve"> was abducted from somewhere between the villages of </w:t>
      </w:r>
      <w:proofErr w:type="spellStart"/>
      <w:r w:rsidRPr="00BB555C">
        <w:rPr>
          <w:lang w:val="en-GB"/>
        </w:rPr>
        <w:t>Vragoli</w:t>
      </w:r>
      <w:proofErr w:type="spellEnd"/>
      <w:r w:rsidRPr="00BB555C">
        <w:rPr>
          <w:lang w:val="en-GB"/>
        </w:rPr>
        <w:t>/</w:t>
      </w:r>
      <w:proofErr w:type="spellStart"/>
      <w:r w:rsidRPr="00BB555C">
        <w:rPr>
          <w:lang w:val="en-GB"/>
        </w:rPr>
        <w:t>Vragolija</w:t>
      </w:r>
      <w:proofErr w:type="spellEnd"/>
      <w:r w:rsidRPr="00BB555C">
        <w:rPr>
          <w:lang w:val="en-GB"/>
        </w:rPr>
        <w:t xml:space="preserve"> and </w:t>
      </w:r>
      <w:proofErr w:type="spellStart"/>
      <w:r w:rsidRPr="00BB555C">
        <w:rPr>
          <w:lang w:val="en-GB"/>
        </w:rPr>
        <w:t>Batushë</w:t>
      </w:r>
      <w:proofErr w:type="spellEnd"/>
      <w:r w:rsidRPr="00BB555C">
        <w:rPr>
          <w:lang w:val="en-GB"/>
        </w:rPr>
        <w:t>/</w:t>
      </w:r>
      <w:proofErr w:type="spellStart"/>
      <w:r w:rsidRPr="00BB555C">
        <w:rPr>
          <w:lang w:val="en-GB"/>
        </w:rPr>
        <w:t>Batuse</w:t>
      </w:r>
      <w:proofErr w:type="spellEnd"/>
      <w:r w:rsidRPr="00BB555C">
        <w:rPr>
          <w:lang w:val="en-GB"/>
        </w:rPr>
        <w:t xml:space="preserve"> in the municipalit</w:t>
      </w:r>
      <w:r w:rsidR="00114E12" w:rsidRPr="00BB555C">
        <w:rPr>
          <w:lang w:val="en-GB"/>
        </w:rPr>
        <w:t xml:space="preserve">y of </w:t>
      </w:r>
      <w:proofErr w:type="spellStart"/>
      <w:r w:rsidR="00114E12" w:rsidRPr="00BB555C">
        <w:rPr>
          <w:lang w:val="en-GB"/>
        </w:rPr>
        <w:t>Fushë</w:t>
      </w:r>
      <w:proofErr w:type="spellEnd"/>
      <w:r w:rsidR="00114E12" w:rsidRPr="00BB555C">
        <w:rPr>
          <w:lang w:val="en-GB"/>
        </w:rPr>
        <w:t xml:space="preserve"> </w:t>
      </w:r>
      <w:proofErr w:type="spellStart"/>
      <w:r w:rsidR="00114E12" w:rsidRPr="00BB555C">
        <w:rPr>
          <w:lang w:val="en-GB"/>
        </w:rPr>
        <w:t>Kosovë</w:t>
      </w:r>
      <w:proofErr w:type="spellEnd"/>
      <w:r w:rsidR="00114E12" w:rsidRPr="00BB555C">
        <w:rPr>
          <w:lang w:val="en-GB"/>
        </w:rPr>
        <w:t xml:space="preserve">/Kosovo </w:t>
      </w:r>
      <w:proofErr w:type="spellStart"/>
      <w:r w:rsidR="00114E12" w:rsidRPr="00BB555C">
        <w:rPr>
          <w:lang w:val="en-GB"/>
        </w:rPr>
        <w:t>Polje</w:t>
      </w:r>
      <w:proofErr w:type="spellEnd"/>
      <w:r w:rsidR="00114E12" w:rsidRPr="00BB555C">
        <w:rPr>
          <w:lang w:val="en-GB"/>
        </w:rPr>
        <w:t>.</w:t>
      </w:r>
      <w:bookmarkEnd w:id="9"/>
    </w:p>
    <w:p w:rsidR="00746EB6" w:rsidRPr="00BB555C" w:rsidRDefault="00746EB6" w:rsidP="00746EB6">
      <w:pPr>
        <w:ind w:left="360"/>
        <w:jc w:val="both"/>
        <w:rPr>
          <w:lang w:val="en-GB"/>
        </w:rPr>
      </w:pPr>
      <w:r w:rsidRPr="00BB555C">
        <w:rPr>
          <w:lang w:val="en-GB"/>
        </w:rPr>
        <w:t xml:space="preserve"> </w:t>
      </w:r>
    </w:p>
    <w:p w:rsidR="00746EB6" w:rsidRPr="00BB555C" w:rsidRDefault="00746EB6" w:rsidP="00746EB6">
      <w:pPr>
        <w:numPr>
          <w:ilvl w:val="0"/>
          <w:numId w:val="2"/>
        </w:numPr>
        <w:jc w:val="both"/>
        <w:rPr>
          <w:lang w:val="en-GB"/>
        </w:rPr>
      </w:pPr>
      <w:r w:rsidRPr="00BB555C">
        <w:rPr>
          <w:lang w:val="en-GB"/>
        </w:rPr>
        <w:t>The complainant states that the abduction</w:t>
      </w:r>
      <w:r w:rsidR="00114E12" w:rsidRPr="00BB555C">
        <w:rPr>
          <w:lang w:val="en-GB"/>
        </w:rPr>
        <w:t xml:space="preserve"> of Mr </w:t>
      </w:r>
      <w:proofErr w:type="spellStart"/>
      <w:r w:rsidR="00114E12" w:rsidRPr="00BB555C">
        <w:rPr>
          <w:lang w:val="en-GB"/>
        </w:rPr>
        <w:t>Momčilo</w:t>
      </w:r>
      <w:proofErr w:type="spellEnd"/>
      <w:r w:rsidR="00114E12" w:rsidRPr="00BB555C">
        <w:rPr>
          <w:lang w:val="en-GB"/>
        </w:rPr>
        <w:t xml:space="preserve"> </w:t>
      </w:r>
      <w:proofErr w:type="spellStart"/>
      <w:r w:rsidR="00114E12" w:rsidRPr="00BB555C">
        <w:rPr>
          <w:lang w:val="en-GB"/>
        </w:rPr>
        <w:t>Joksimović</w:t>
      </w:r>
      <w:proofErr w:type="spellEnd"/>
      <w:r w:rsidRPr="00BB555C">
        <w:rPr>
          <w:lang w:val="en-GB"/>
        </w:rPr>
        <w:t xml:space="preserve"> was reported to the </w:t>
      </w:r>
      <w:r w:rsidR="00B42968" w:rsidRPr="00BB555C">
        <w:rPr>
          <w:lang w:val="en-GB"/>
        </w:rPr>
        <w:t xml:space="preserve">ICRC, </w:t>
      </w:r>
      <w:r w:rsidRPr="00BB555C">
        <w:rPr>
          <w:lang w:val="en-GB"/>
        </w:rPr>
        <w:t xml:space="preserve">the Serbian Red Cross, KFOR and UNMIK. His father’s mortal remains were subsequently found on </w:t>
      </w:r>
      <w:r w:rsidR="00C42975" w:rsidRPr="00BB555C">
        <w:rPr>
          <w:lang w:val="en-GB"/>
        </w:rPr>
        <w:t xml:space="preserve">8 </w:t>
      </w:r>
      <w:r w:rsidRPr="00BB555C">
        <w:rPr>
          <w:lang w:val="en-GB"/>
        </w:rPr>
        <w:t xml:space="preserve">November 1999 on the road between </w:t>
      </w:r>
      <w:proofErr w:type="spellStart"/>
      <w:r w:rsidRPr="00BB555C">
        <w:rPr>
          <w:lang w:val="en-GB"/>
        </w:rPr>
        <w:t>Mitrovicë</w:t>
      </w:r>
      <w:proofErr w:type="spellEnd"/>
      <w:r w:rsidRPr="00BB555C">
        <w:rPr>
          <w:lang w:val="en-GB"/>
        </w:rPr>
        <w:t>/</w:t>
      </w:r>
      <w:proofErr w:type="spellStart"/>
      <w:r w:rsidRPr="00BB555C">
        <w:rPr>
          <w:lang w:val="en-GB"/>
        </w:rPr>
        <w:t>Mitrovica</w:t>
      </w:r>
      <w:proofErr w:type="spellEnd"/>
      <w:r w:rsidRPr="00BB555C">
        <w:rPr>
          <w:lang w:val="en-GB"/>
        </w:rPr>
        <w:t xml:space="preserve"> and </w:t>
      </w:r>
      <w:proofErr w:type="spellStart"/>
      <w:r w:rsidRPr="00BB555C">
        <w:rPr>
          <w:lang w:val="en-GB"/>
        </w:rPr>
        <w:t>Drenicë</w:t>
      </w:r>
      <w:proofErr w:type="spellEnd"/>
      <w:r w:rsidRPr="00BB555C">
        <w:rPr>
          <w:lang w:val="en-GB"/>
        </w:rPr>
        <w:t>/</w:t>
      </w:r>
      <w:proofErr w:type="spellStart"/>
      <w:r w:rsidRPr="00BB555C">
        <w:rPr>
          <w:lang w:val="en-GB"/>
        </w:rPr>
        <w:t>Drenica</w:t>
      </w:r>
      <w:proofErr w:type="spellEnd"/>
      <w:r w:rsidRPr="00BB555C">
        <w:rPr>
          <w:lang w:val="en-GB"/>
        </w:rPr>
        <w:t xml:space="preserve">. The complainant states that </w:t>
      </w:r>
      <w:r w:rsidR="006203E2" w:rsidRPr="00BB555C">
        <w:rPr>
          <w:lang w:val="en-GB"/>
        </w:rPr>
        <w:t>his father</w:t>
      </w:r>
      <w:r w:rsidR="00E121A7" w:rsidRPr="00BB555C">
        <w:rPr>
          <w:lang w:val="en-GB"/>
        </w:rPr>
        <w:t>’s body</w:t>
      </w:r>
      <w:r w:rsidR="006203E2" w:rsidRPr="00BB555C">
        <w:rPr>
          <w:lang w:val="en-GB"/>
        </w:rPr>
        <w:t xml:space="preserve"> was found with two shots in the head and his hands tied. </w:t>
      </w:r>
      <w:r w:rsidR="00C42975" w:rsidRPr="00BB555C">
        <w:rPr>
          <w:lang w:val="en-GB"/>
        </w:rPr>
        <w:t xml:space="preserve">The complainant has provided a copy of </w:t>
      </w:r>
      <w:r w:rsidR="00114E12" w:rsidRPr="00BB555C">
        <w:rPr>
          <w:lang w:val="en-GB"/>
        </w:rPr>
        <w:t>“</w:t>
      </w:r>
      <w:r w:rsidR="00C42975" w:rsidRPr="00BB555C">
        <w:rPr>
          <w:lang w:val="en-GB"/>
        </w:rPr>
        <w:t>confirmation of death</w:t>
      </w:r>
      <w:r w:rsidR="00114E12" w:rsidRPr="00BB555C">
        <w:rPr>
          <w:lang w:val="en-GB"/>
        </w:rPr>
        <w:t>”</w:t>
      </w:r>
      <w:r w:rsidR="00C42975" w:rsidRPr="00BB555C">
        <w:rPr>
          <w:lang w:val="en-GB"/>
        </w:rPr>
        <w:t xml:space="preserve"> certificate from the Clinical Medical </w:t>
      </w:r>
      <w:proofErr w:type="spellStart"/>
      <w:r w:rsidR="00C42975" w:rsidRPr="00BB555C">
        <w:rPr>
          <w:lang w:val="en-GB"/>
        </w:rPr>
        <w:t>Center</w:t>
      </w:r>
      <w:proofErr w:type="spellEnd"/>
      <w:r w:rsidR="00C42975" w:rsidRPr="00BB555C">
        <w:rPr>
          <w:lang w:val="en-GB"/>
        </w:rPr>
        <w:t xml:space="preserve"> of </w:t>
      </w:r>
      <w:proofErr w:type="spellStart"/>
      <w:r w:rsidR="00C42975" w:rsidRPr="00BB555C">
        <w:rPr>
          <w:lang w:val="en-GB"/>
        </w:rPr>
        <w:t>Prishtinë</w:t>
      </w:r>
      <w:proofErr w:type="spellEnd"/>
      <w:r w:rsidR="00C42975" w:rsidRPr="00BB555C">
        <w:rPr>
          <w:lang w:val="en-GB"/>
        </w:rPr>
        <w:t>/</w:t>
      </w:r>
      <w:proofErr w:type="spellStart"/>
      <w:r w:rsidR="00C42975" w:rsidRPr="00BB555C">
        <w:rPr>
          <w:lang w:val="en-GB"/>
        </w:rPr>
        <w:t>Priština</w:t>
      </w:r>
      <w:proofErr w:type="spellEnd"/>
      <w:r w:rsidR="00C42975" w:rsidRPr="00BB555C">
        <w:rPr>
          <w:lang w:val="en-GB"/>
        </w:rPr>
        <w:t xml:space="preserve">, dated 14 </w:t>
      </w:r>
      <w:r w:rsidRPr="00BB555C">
        <w:rPr>
          <w:lang w:val="en-GB"/>
        </w:rPr>
        <w:t>April 2000</w:t>
      </w:r>
      <w:r w:rsidR="00C42975" w:rsidRPr="00BB555C">
        <w:rPr>
          <w:lang w:val="en-GB"/>
        </w:rPr>
        <w:t>, which</w:t>
      </w:r>
      <w:r w:rsidRPr="00BB555C">
        <w:rPr>
          <w:lang w:val="en-GB"/>
        </w:rPr>
        <w:t xml:space="preserve"> states that the cause of death was homicide</w:t>
      </w:r>
      <w:r w:rsidR="00F3341B" w:rsidRPr="00BB555C">
        <w:rPr>
          <w:lang w:val="en-GB"/>
        </w:rPr>
        <w:t xml:space="preserve"> and that there was an autopsy performed</w:t>
      </w:r>
      <w:r w:rsidRPr="00BB555C">
        <w:rPr>
          <w:lang w:val="en-GB"/>
        </w:rPr>
        <w:t>.</w:t>
      </w:r>
      <w:r w:rsidR="00C42975" w:rsidRPr="00BB555C">
        <w:rPr>
          <w:lang w:val="en-GB"/>
        </w:rPr>
        <w:t xml:space="preserve"> The complainant also provided an UNMIK death certificate, dated 19 April 2000, stating that the date of death was 10 November 1999.</w:t>
      </w:r>
    </w:p>
    <w:p w:rsidR="00AC6076" w:rsidRPr="00BB555C" w:rsidRDefault="00AC6076" w:rsidP="00AC6076">
      <w:pPr>
        <w:pStyle w:val="ListParagraph"/>
        <w:rPr>
          <w:lang w:val="en-GB"/>
        </w:rPr>
      </w:pPr>
    </w:p>
    <w:p w:rsidR="00AC6076" w:rsidRPr="00BB555C" w:rsidRDefault="00F00DD5" w:rsidP="00746EB6">
      <w:pPr>
        <w:numPr>
          <w:ilvl w:val="0"/>
          <w:numId w:val="2"/>
        </w:numPr>
        <w:jc w:val="both"/>
        <w:rPr>
          <w:lang w:val="en-GB"/>
        </w:rPr>
      </w:pPr>
      <w:r w:rsidRPr="00BB555C">
        <w:rPr>
          <w:lang w:val="en-GB"/>
        </w:rPr>
        <w:t xml:space="preserve">The Panel was subsequently informed </w:t>
      </w:r>
      <w:r w:rsidR="00E527E9" w:rsidRPr="00BB555C">
        <w:rPr>
          <w:lang w:val="en-GB"/>
        </w:rPr>
        <w:t xml:space="preserve">by the family of Mr </w:t>
      </w:r>
      <w:proofErr w:type="spellStart"/>
      <w:r w:rsidR="00E527E9" w:rsidRPr="00BB555C">
        <w:rPr>
          <w:lang w:val="en-GB"/>
        </w:rPr>
        <w:t>Momčilo</w:t>
      </w:r>
      <w:proofErr w:type="spellEnd"/>
      <w:r w:rsidR="00E527E9" w:rsidRPr="00BB555C">
        <w:rPr>
          <w:lang w:val="en-GB"/>
        </w:rPr>
        <w:t xml:space="preserve"> </w:t>
      </w:r>
      <w:proofErr w:type="spellStart"/>
      <w:r w:rsidR="00E527E9" w:rsidRPr="00BB555C">
        <w:rPr>
          <w:lang w:val="en-GB"/>
        </w:rPr>
        <w:t>Joksimović</w:t>
      </w:r>
      <w:proofErr w:type="spellEnd"/>
      <w:r w:rsidR="00E527E9" w:rsidRPr="00BB555C">
        <w:rPr>
          <w:lang w:val="en-GB"/>
        </w:rPr>
        <w:t xml:space="preserve"> </w:t>
      </w:r>
      <w:r w:rsidRPr="00BB555C">
        <w:rPr>
          <w:lang w:val="en-GB"/>
        </w:rPr>
        <w:t xml:space="preserve">that </w:t>
      </w:r>
      <w:r w:rsidR="00E121A7" w:rsidRPr="00BB555C">
        <w:rPr>
          <w:lang w:val="en-GB"/>
        </w:rPr>
        <w:t xml:space="preserve">his </w:t>
      </w:r>
      <w:r w:rsidRPr="00BB555C">
        <w:rPr>
          <w:lang w:val="en-GB"/>
        </w:rPr>
        <w:t xml:space="preserve">body </w:t>
      </w:r>
      <w:r w:rsidR="00E121A7" w:rsidRPr="00BB555C">
        <w:rPr>
          <w:lang w:val="en-GB"/>
        </w:rPr>
        <w:t xml:space="preserve">had been </w:t>
      </w:r>
      <w:r w:rsidRPr="00BB555C">
        <w:rPr>
          <w:lang w:val="en-GB"/>
        </w:rPr>
        <w:t>returned to the</w:t>
      </w:r>
      <w:r w:rsidR="006203E2" w:rsidRPr="00BB555C">
        <w:t>m</w:t>
      </w:r>
      <w:r w:rsidRPr="00BB555C">
        <w:rPr>
          <w:lang w:val="en-GB"/>
        </w:rPr>
        <w:t xml:space="preserve"> and buried in the vil</w:t>
      </w:r>
      <w:r w:rsidR="00114E12" w:rsidRPr="00BB555C">
        <w:rPr>
          <w:lang w:val="en-GB"/>
        </w:rPr>
        <w:t xml:space="preserve">lage of </w:t>
      </w:r>
      <w:proofErr w:type="spellStart"/>
      <w:r w:rsidR="00114E12" w:rsidRPr="00BB555C">
        <w:rPr>
          <w:lang w:val="en-GB"/>
        </w:rPr>
        <w:t>Bresije</w:t>
      </w:r>
      <w:proofErr w:type="spellEnd"/>
      <w:r w:rsidR="00114E12" w:rsidRPr="00BB555C">
        <w:rPr>
          <w:lang w:val="en-GB"/>
        </w:rPr>
        <w:t xml:space="preserve"> in </w:t>
      </w:r>
      <w:proofErr w:type="spellStart"/>
      <w:r w:rsidR="00114E12" w:rsidRPr="00BB555C">
        <w:rPr>
          <w:lang w:val="en-GB"/>
        </w:rPr>
        <w:t>Fushë</w:t>
      </w:r>
      <w:proofErr w:type="spellEnd"/>
      <w:r w:rsidR="00114E12" w:rsidRPr="00BB555C">
        <w:rPr>
          <w:lang w:val="en-GB"/>
        </w:rPr>
        <w:t xml:space="preserve"> Kosovo</w:t>
      </w:r>
      <w:r w:rsidRPr="00BB555C">
        <w:rPr>
          <w:lang w:val="en-GB"/>
        </w:rPr>
        <w:t>/Kosovo Polje municipality.</w:t>
      </w:r>
    </w:p>
    <w:bookmarkEnd w:id="8"/>
    <w:p w:rsidR="00093691" w:rsidRPr="005D40AD" w:rsidRDefault="00093691" w:rsidP="00093691">
      <w:pPr>
        <w:jc w:val="both"/>
      </w:pPr>
    </w:p>
    <w:p w:rsidR="00D64ACA" w:rsidRPr="005D40AD" w:rsidRDefault="00D64ACA" w:rsidP="00D64ACA">
      <w:pPr>
        <w:jc w:val="both"/>
        <w:rPr>
          <w:lang w:val="en-GB"/>
        </w:rPr>
      </w:pPr>
      <w:r w:rsidRPr="005D40AD">
        <w:rPr>
          <w:b/>
          <w:lang w:val="en-GB"/>
        </w:rPr>
        <w:t>C. The investigation</w:t>
      </w:r>
    </w:p>
    <w:p w:rsidR="00D142E8" w:rsidRPr="005D40AD" w:rsidRDefault="00D142E8" w:rsidP="00D142E8">
      <w:pPr>
        <w:jc w:val="both"/>
        <w:rPr>
          <w:i/>
          <w:lang w:val="en-GB"/>
        </w:rPr>
      </w:pPr>
    </w:p>
    <w:p w:rsidR="00B30D31" w:rsidRPr="005D40AD" w:rsidRDefault="00B30D31" w:rsidP="00B30D31">
      <w:pPr>
        <w:pStyle w:val="ListParagraph"/>
        <w:ind w:left="0"/>
        <w:jc w:val="both"/>
        <w:rPr>
          <w:i/>
          <w:lang w:val="en-GB"/>
        </w:rPr>
      </w:pPr>
      <w:bookmarkStart w:id="10" w:name="_Ref347322102"/>
      <w:bookmarkStart w:id="11" w:name="_Ref413845941"/>
      <w:bookmarkStart w:id="12" w:name="_Ref395005257"/>
      <w:r w:rsidRPr="005D40AD">
        <w:rPr>
          <w:i/>
          <w:lang w:val="en-GB"/>
        </w:rPr>
        <w:t>Disclosure of relevant files</w:t>
      </w:r>
    </w:p>
    <w:p w:rsidR="00B30D31" w:rsidRPr="005D40AD" w:rsidRDefault="00B30D31" w:rsidP="00B30D31">
      <w:pPr>
        <w:pStyle w:val="Default"/>
        <w:suppressAutoHyphens/>
        <w:jc w:val="both"/>
        <w:rPr>
          <w:bCs/>
          <w:color w:val="auto"/>
          <w:lang w:val="en-GB"/>
        </w:rPr>
      </w:pPr>
    </w:p>
    <w:p w:rsidR="00690929" w:rsidRPr="00BB555C" w:rsidRDefault="00B30D31" w:rsidP="00690929">
      <w:pPr>
        <w:pStyle w:val="Default"/>
        <w:numPr>
          <w:ilvl w:val="0"/>
          <w:numId w:val="2"/>
        </w:numPr>
        <w:tabs>
          <w:tab w:val="left" w:pos="360"/>
        </w:tabs>
        <w:suppressAutoHyphens/>
        <w:jc w:val="both"/>
        <w:rPr>
          <w:bCs/>
          <w:color w:val="auto"/>
          <w:lang w:val="en-GB"/>
        </w:rPr>
      </w:pPr>
      <w:bookmarkStart w:id="13" w:name="_Ref365886120"/>
      <w:bookmarkEnd w:id="10"/>
      <w:r w:rsidRPr="00F3341B">
        <w:rPr>
          <w:color w:val="auto"/>
          <w:lang w:val="en-GB"/>
        </w:rPr>
        <w:t>On</w:t>
      </w:r>
      <w:bookmarkStart w:id="14" w:name="_Ref348357381"/>
      <w:r w:rsidRPr="00F3341B">
        <w:rPr>
          <w:color w:val="auto"/>
          <w:lang w:val="en-GB"/>
        </w:rPr>
        <w:t xml:space="preserve"> </w:t>
      </w:r>
      <w:r w:rsidR="00746EB6" w:rsidRPr="00F3341B">
        <w:rPr>
          <w:color w:val="auto"/>
          <w:lang w:val="en-GB"/>
        </w:rPr>
        <w:t>19 October</w:t>
      </w:r>
      <w:r w:rsidR="00871BC2" w:rsidRPr="00F3341B">
        <w:rPr>
          <w:color w:val="auto"/>
          <w:lang w:val="en-GB"/>
        </w:rPr>
        <w:t xml:space="preserve"> 2015</w:t>
      </w:r>
      <w:r w:rsidRPr="00F3341B">
        <w:rPr>
          <w:color w:val="auto"/>
          <w:lang w:val="en-GB"/>
        </w:rPr>
        <w:t xml:space="preserve">, </w:t>
      </w:r>
      <w:r w:rsidRPr="00F3341B">
        <w:rPr>
          <w:bCs/>
          <w:color w:val="auto"/>
          <w:lang w:val="en-GB"/>
        </w:rPr>
        <w:t xml:space="preserve">UNMIK provided to the </w:t>
      </w:r>
      <w:r w:rsidRPr="00BB555C">
        <w:rPr>
          <w:bCs/>
          <w:color w:val="auto"/>
          <w:lang w:val="en-GB"/>
        </w:rPr>
        <w:t xml:space="preserve">Panel </w:t>
      </w:r>
      <w:r w:rsidR="00746EB6" w:rsidRPr="00BB555C">
        <w:rPr>
          <w:lang w:val="en-GB"/>
        </w:rPr>
        <w:t xml:space="preserve">a </w:t>
      </w:r>
      <w:r w:rsidR="006203E2" w:rsidRPr="00BB555C">
        <w:rPr>
          <w:lang w:val="en-GB"/>
        </w:rPr>
        <w:t xml:space="preserve">copy of </w:t>
      </w:r>
      <w:r w:rsidR="00E121A7" w:rsidRPr="00BB555C">
        <w:rPr>
          <w:lang w:val="en-GB"/>
        </w:rPr>
        <w:t xml:space="preserve">a </w:t>
      </w:r>
      <w:r w:rsidR="00746EB6" w:rsidRPr="00BB555C">
        <w:rPr>
          <w:lang w:val="en-GB"/>
        </w:rPr>
        <w:t>two-page initial incident report</w:t>
      </w:r>
      <w:bookmarkStart w:id="15" w:name="_Ref347560906"/>
      <w:bookmarkEnd w:id="13"/>
      <w:bookmarkEnd w:id="14"/>
      <w:r w:rsidR="00AC6076" w:rsidRPr="00BB555C">
        <w:rPr>
          <w:bCs/>
          <w:lang w:val="en-GB"/>
        </w:rPr>
        <w:t>, dated 9 November 1999, with</w:t>
      </w:r>
      <w:r w:rsidR="00035EAF" w:rsidRPr="00BB555C">
        <w:rPr>
          <w:bCs/>
          <w:lang w:val="en-GB"/>
        </w:rPr>
        <w:t xml:space="preserve"> reference no. BI-2017-29-99, which</w:t>
      </w:r>
      <w:r w:rsidR="00690929" w:rsidRPr="00BB555C">
        <w:rPr>
          <w:bCs/>
          <w:lang w:val="en-GB"/>
        </w:rPr>
        <w:t xml:space="preserve"> states “[o]n 08.11.1999 [K.K.</w:t>
      </w:r>
      <w:proofErr w:type="gramStart"/>
      <w:r w:rsidR="00690929" w:rsidRPr="00BB555C">
        <w:rPr>
          <w:bCs/>
          <w:lang w:val="en-GB"/>
        </w:rPr>
        <w:t>]found</w:t>
      </w:r>
      <w:proofErr w:type="gramEnd"/>
      <w:r w:rsidR="00690929" w:rsidRPr="00BB555C">
        <w:rPr>
          <w:bCs/>
          <w:lang w:val="en-GB"/>
        </w:rPr>
        <w:t xml:space="preserve"> an unknown dead body </w:t>
      </w:r>
      <w:r w:rsidR="00AC6076" w:rsidRPr="00BB555C">
        <w:rPr>
          <w:bCs/>
          <w:lang w:val="en-GB"/>
        </w:rPr>
        <w:t xml:space="preserve">in a steep ravine located in forest near </w:t>
      </w:r>
      <w:proofErr w:type="spellStart"/>
      <w:r w:rsidR="00AC6076" w:rsidRPr="00BB555C">
        <w:rPr>
          <w:bCs/>
          <w:lang w:val="en-GB"/>
        </w:rPr>
        <w:t>Kladernica</w:t>
      </w:r>
      <w:proofErr w:type="spellEnd"/>
      <w:r w:rsidR="00AC6076" w:rsidRPr="00BB555C">
        <w:rPr>
          <w:bCs/>
          <w:lang w:val="en-GB"/>
        </w:rPr>
        <w:t xml:space="preserve"> village and in</w:t>
      </w:r>
      <w:r w:rsidR="00114E12" w:rsidRPr="00BB555C">
        <w:rPr>
          <w:bCs/>
          <w:lang w:val="en-GB"/>
        </w:rPr>
        <w:t>formed French KFOR. Police unit</w:t>
      </w:r>
      <w:r w:rsidR="00AC6076" w:rsidRPr="00BB555C">
        <w:rPr>
          <w:bCs/>
          <w:lang w:val="en-GB"/>
        </w:rPr>
        <w:t>s responded to the crime scene, collected the dead body and transported to Prishtina Hospital for autopsy examination. The cause of death is unknown at the moment.</w:t>
      </w:r>
      <w:r w:rsidR="00035EAF" w:rsidRPr="00BB555C">
        <w:rPr>
          <w:bCs/>
          <w:lang w:val="en-GB"/>
        </w:rPr>
        <w:t>”</w:t>
      </w:r>
      <w:r w:rsidR="00AC6076" w:rsidRPr="00BB555C">
        <w:rPr>
          <w:bCs/>
          <w:lang w:val="en-GB"/>
        </w:rPr>
        <w:t xml:space="preserve"> </w:t>
      </w:r>
      <w:r w:rsidR="003443B0" w:rsidRPr="00BB555C">
        <w:rPr>
          <w:bCs/>
          <w:lang w:val="en-GB"/>
        </w:rPr>
        <w:t>The name and contact details of the person who found the body is included in the document</w:t>
      </w:r>
      <w:r w:rsidR="00B42968" w:rsidRPr="00BB555C">
        <w:rPr>
          <w:bCs/>
          <w:lang w:val="en-GB"/>
        </w:rPr>
        <w:t xml:space="preserve"> as a “complainant”</w:t>
      </w:r>
      <w:r w:rsidR="003443B0" w:rsidRPr="00BB555C">
        <w:rPr>
          <w:bCs/>
          <w:lang w:val="en-GB"/>
        </w:rPr>
        <w:t>.</w:t>
      </w:r>
      <w:r w:rsidR="00B42968" w:rsidRPr="00BB555C">
        <w:rPr>
          <w:bCs/>
          <w:lang w:val="en-GB"/>
        </w:rPr>
        <w:t xml:space="preserve"> The name of </w:t>
      </w:r>
      <w:bookmarkEnd w:id="15"/>
      <w:r w:rsidR="00B42968" w:rsidRPr="00BB555C">
        <w:rPr>
          <w:lang w:val="en-GB"/>
        </w:rPr>
        <w:t xml:space="preserve">Mr </w:t>
      </w:r>
      <w:proofErr w:type="spellStart"/>
      <w:r w:rsidR="00B42968" w:rsidRPr="00BB555C">
        <w:rPr>
          <w:lang w:val="en-GB"/>
        </w:rPr>
        <w:t>Momčilo</w:t>
      </w:r>
      <w:proofErr w:type="spellEnd"/>
      <w:r w:rsidR="00B42968" w:rsidRPr="00BB555C">
        <w:rPr>
          <w:lang w:val="en-GB"/>
        </w:rPr>
        <w:t xml:space="preserve"> </w:t>
      </w:r>
      <w:proofErr w:type="spellStart"/>
      <w:r w:rsidR="00B42968" w:rsidRPr="00BB555C">
        <w:rPr>
          <w:lang w:val="en-GB"/>
        </w:rPr>
        <w:t>Joksimović</w:t>
      </w:r>
      <w:proofErr w:type="spellEnd"/>
      <w:r w:rsidR="00B42968" w:rsidRPr="00BB555C">
        <w:rPr>
          <w:lang w:val="en-GB"/>
        </w:rPr>
        <w:t xml:space="preserve"> is </w:t>
      </w:r>
      <w:r w:rsidR="00690929" w:rsidRPr="00BB555C">
        <w:rPr>
          <w:lang w:val="en-GB"/>
        </w:rPr>
        <w:t xml:space="preserve">named </w:t>
      </w:r>
      <w:r w:rsidR="00B42968" w:rsidRPr="00BB555C">
        <w:rPr>
          <w:lang w:val="en-GB"/>
        </w:rPr>
        <w:t>as the victim</w:t>
      </w:r>
      <w:r w:rsidR="00552948" w:rsidRPr="00BB555C">
        <w:rPr>
          <w:lang w:val="en-GB"/>
        </w:rPr>
        <w:t xml:space="preserve"> in the report</w:t>
      </w:r>
      <w:r w:rsidR="00B42968" w:rsidRPr="00BB555C">
        <w:rPr>
          <w:lang w:val="en-GB"/>
        </w:rPr>
        <w:t>.</w:t>
      </w:r>
      <w:r w:rsidR="00690929" w:rsidRPr="00BB555C">
        <w:rPr>
          <w:color w:val="auto"/>
          <w:lang w:val="en-GB"/>
        </w:rPr>
        <w:t xml:space="preserve"> On 27 November 2015, UNMIK confirmed to the Panel that all files in UNMIK’s possession have been disclosed.</w:t>
      </w:r>
    </w:p>
    <w:p w:rsidR="00AC6076" w:rsidRPr="00BB555C" w:rsidRDefault="00AC6076" w:rsidP="00690929">
      <w:pPr>
        <w:widowControl w:val="0"/>
        <w:tabs>
          <w:tab w:val="left" w:pos="1080"/>
        </w:tabs>
        <w:suppressAutoHyphens/>
        <w:ind w:left="360"/>
        <w:jc w:val="both"/>
        <w:rPr>
          <w:bCs/>
          <w:lang w:val="en-GB"/>
        </w:rPr>
      </w:pPr>
    </w:p>
    <w:p w:rsidR="00AC6076" w:rsidRDefault="00AC6076" w:rsidP="00AC6076">
      <w:pPr>
        <w:pStyle w:val="ListParagraph"/>
        <w:rPr>
          <w:lang w:val="en-GB"/>
        </w:rPr>
      </w:pPr>
    </w:p>
    <w:bookmarkEnd w:id="11"/>
    <w:bookmarkEnd w:id="12"/>
    <w:p w:rsidR="003E3F85" w:rsidRPr="005D40AD" w:rsidRDefault="003E3F85" w:rsidP="003E3F85">
      <w:pPr>
        <w:numPr>
          <w:ilvl w:val="0"/>
          <w:numId w:val="1"/>
        </w:numPr>
        <w:suppressAutoHyphens/>
        <w:autoSpaceDE w:val="0"/>
        <w:ind w:left="360" w:hanging="360"/>
        <w:jc w:val="both"/>
        <w:rPr>
          <w:b/>
          <w:bCs/>
        </w:rPr>
      </w:pPr>
      <w:r w:rsidRPr="005D40AD">
        <w:rPr>
          <w:b/>
          <w:bCs/>
          <w:lang w:val="en-GB"/>
        </w:rPr>
        <w:t>THE</w:t>
      </w:r>
      <w:r w:rsidRPr="005D40AD">
        <w:rPr>
          <w:b/>
          <w:bCs/>
        </w:rPr>
        <w:t xml:space="preserve"> COMPLAINT</w:t>
      </w:r>
    </w:p>
    <w:p w:rsidR="003E3F85" w:rsidRPr="005D40AD" w:rsidRDefault="003E3F85" w:rsidP="007A5EE7">
      <w:pPr>
        <w:tabs>
          <w:tab w:val="left" w:pos="357"/>
        </w:tabs>
        <w:autoSpaceDE w:val="0"/>
        <w:jc w:val="both"/>
        <w:rPr>
          <w:b/>
          <w:bCs/>
          <w:lang w:val="en-GB"/>
        </w:rPr>
      </w:pPr>
    </w:p>
    <w:p w:rsidR="003E3F85" w:rsidRPr="003443B0" w:rsidRDefault="003443B0" w:rsidP="003443B0">
      <w:pPr>
        <w:pStyle w:val="Default"/>
        <w:numPr>
          <w:ilvl w:val="0"/>
          <w:numId w:val="2"/>
        </w:numPr>
        <w:jc w:val="both"/>
        <w:rPr>
          <w:lang w:val="en-GB"/>
        </w:rPr>
      </w:pPr>
      <w:r>
        <w:rPr>
          <w:lang w:val="en-GB"/>
        </w:rPr>
        <w:t xml:space="preserve">The complainant complains about UNMIK’s alleged failure to properly investigate the abduction and killing of his father, </w:t>
      </w:r>
      <w:r w:rsidRPr="00BB555C">
        <w:rPr>
          <w:lang w:val="en-GB"/>
        </w:rPr>
        <w:t xml:space="preserve">Mr </w:t>
      </w:r>
      <w:proofErr w:type="spellStart"/>
      <w:r w:rsidRPr="00BB555C">
        <w:rPr>
          <w:lang w:val="en-GB"/>
        </w:rPr>
        <w:t>Momčilo</w:t>
      </w:r>
      <w:proofErr w:type="spellEnd"/>
      <w:r w:rsidRPr="00BB555C">
        <w:rPr>
          <w:lang w:val="en-GB"/>
        </w:rPr>
        <w:t xml:space="preserve"> </w:t>
      </w:r>
      <w:proofErr w:type="spellStart"/>
      <w:r w:rsidRPr="00BB555C">
        <w:rPr>
          <w:lang w:val="en-GB"/>
        </w:rPr>
        <w:t>Joksimović</w:t>
      </w:r>
      <w:proofErr w:type="spellEnd"/>
      <w:r w:rsidRPr="00BB555C">
        <w:rPr>
          <w:lang w:val="en-GB"/>
        </w:rPr>
        <w:t xml:space="preserve">. </w:t>
      </w:r>
      <w:r w:rsidR="003E3F85" w:rsidRPr="00BB555C">
        <w:rPr>
          <w:lang w:val="en-GB"/>
        </w:rPr>
        <w:t>In this regard, the Panel deems</w:t>
      </w:r>
      <w:r w:rsidR="003E3F85" w:rsidRPr="003443B0">
        <w:rPr>
          <w:lang w:val="en-GB"/>
        </w:rPr>
        <w:t xml:space="preserve"> that the complainant invokes a violation of the procedural limb of Article 2 of the European Convention on Human Rights (ECHR).</w:t>
      </w:r>
    </w:p>
    <w:p w:rsidR="00991DCC" w:rsidRPr="005D40AD" w:rsidRDefault="00991DCC" w:rsidP="00991DCC">
      <w:pPr>
        <w:pStyle w:val="ListParagraph"/>
        <w:autoSpaceDE w:val="0"/>
        <w:ind w:left="360"/>
        <w:jc w:val="both"/>
        <w:rPr>
          <w:b/>
          <w:bCs/>
          <w:lang w:val="en-GB"/>
        </w:rPr>
      </w:pPr>
    </w:p>
    <w:p w:rsidR="003E3F85" w:rsidRPr="005D40AD" w:rsidRDefault="003E3F85" w:rsidP="003E3F85">
      <w:pPr>
        <w:autoSpaceDE w:val="0"/>
        <w:jc w:val="both"/>
        <w:rPr>
          <w:b/>
          <w:bCs/>
          <w:lang w:val="en-GB"/>
        </w:rPr>
      </w:pPr>
    </w:p>
    <w:p w:rsidR="003E3F85" w:rsidRPr="005D40AD" w:rsidRDefault="003E3F85" w:rsidP="003E3F85">
      <w:pPr>
        <w:numPr>
          <w:ilvl w:val="0"/>
          <w:numId w:val="1"/>
        </w:numPr>
        <w:suppressAutoHyphens/>
        <w:autoSpaceDE w:val="0"/>
        <w:ind w:left="360" w:hanging="360"/>
        <w:jc w:val="both"/>
        <w:rPr>
          <w:b/>
          <w:bCs/>
          <w:lang w:val="en-GB"/>
        </w:rPr>
      </w:pPr>
      <w:r w:rsidRPr="005D40AD">
        <w:rPr>
          <w:b/>
          <w:bCs/>
          <w:lang w:val="en-GB"/>
        </w:rPr>
        <w:t>THE LAW</w:t>
      </w:r>
    </w:p>
    <w:p w:rsidR="003E3F85" w:rsidRPr="005D40AD" w:rsidRDefault="003E3F85" w:rsidP="003E3F85">
      <w:pPr>
        <w:suppressAutoHyphens/>
        <w:autoSpaceDE w:val="0"/>
        <w:jc w:val="both"/>
        <w:rPr>
          <w:bCs/>
          <w:lang w:val="en-GB"/>
        </w:rPr>
      </w:pPr>
    </w:p>
    <w:p w:rsidR="003E3F85" w:rsidRPr="005D40AD" w:rsidRDefault="003E3F85" w:rsidP="003E3F85">
      <w:pPr>
        <w:pStyle w:val="Default"/>
        <w:numPr>
          <w:ilvl w:val="0"/>
          <w:numId w:val="4"/>
        </w:numPr>
        <w:jc w:val="both"/>
        <w:rPr>
          <w:b/>
          <w:color w:val="auto"/>
          <w:lang w:val="en-GB"/>
        </w:rPr>
      </w:pPr>
      <w:r w:rsidRPr="005D40AD">
        <w:rPr>
          <w:b/>
          <w:color w:val="auto"/>
          <w:lang w:val="en-GB"/>
        </w:rPr>
        <w:t>Alleged violation of the procedural obligation under</w:t>
      </w:r>
      <w:r w:rsidRPr="005D40AD">
        <w:rPr>
          <w:b/>
          <w:i/>
          <w:color w:val="auto"/>
          <w:lang w:val="en-GB"/>
        </w:rPr>
        <w:t xml:space="preserve"> </w:t>
      </w:r>
      <w:r w:rsidRPr="005D40AD">
        <w:rPr>
          <w:b/>
          <w:color w:val="auto"/>
          <w:lang w:val="en-GB"/>
        </w:rPr>
        <w:t xml:space="preserve">Article 2 of the ECHR </w:t>
      </w:r>
    </w:p>
    <w:p w:rsidR="003E3F85" w:rsidRPr="005D40AD" w:rsidRDefault="003E3F85" w:rsidP="003E3F85">
      <w:pPr>
        <w:tabs>
          <w:tab w:val="left" w:pos="630"/>
          <w:tab w:val="left" w:pos="2790"/>
        </w:tabs>
        <w:suppressAutoHyphens/>
        <w:autoSpaceDE w:val="0"/>
        <w:jc w:val="both"/>
        <w:rPr>
          <w:bCs/>
          <w:lang w:val="en-GB"/>
        </w:rPr>
      </w:pPr>
    </w:p>
    <w:p w:rsidR="003E3F85" w:rsidRPr="005D40AD" w:rsidRDefault="003E3F85" w:rsidP="003E3F85">
      <w:pPr>
        <w:pStyle w:val="ListParagraph"/>
        <w:numPr>
          <w:ilvl w:val="1"/>
          <w:numId w:val="1"/>
        </w:numPr>
        <w:tabs>
          <w:tab w:val="clear" w:pos="360"/>
          <w:tab w:val="left" w:pos="357"/>
        </w:tabs>
        <w:autoSpaceDE w:val="0"/>
        <w:contextualSpacing/>
        <w:jc w:val="both"/>
        <w:rPr>
          <w:b/>
          <w:bCs/>
          <w:lang w:val="en-GB"/>
        </w:rPr>
      </w:pPr>
      <w:r w:rsidRPr="005D40AD">
        <w:rPr>
          <w:b/>
          <w:bCs/>
          <w:lang w:val="en-GB"/>
        </w:rPr>
        <w:t>The scope of the Panel’s review</w:t>
      </w:r>
    </w:p>
    <w:p w:rsidR="003E3F85" w:rsidRPr="005D40AD" w:rsidRDefault="003E3F85" w:rsidP="003E3F85">
      <w:pPr>
        <w:suppressAutoHyphens/>
        <w:autoSpaceDE w:val="0"/>
        <w:jc w:val="both"/>
        <w:rPr>
          <w:bCs/>
          <w:lang w:val="en-GB"/>
        </w:rPr>
      </w:pPr>
    </w:p>
    <w:p w:rsidR="003E3F85" w:rsidRPr="005D40AD" w:rsidRDefault="003E3F85" w:rsidP="003E3F85">
      <w:pPr>
        <w:pStyle w:val="ListParagraph"/>
        <w:numPr>
          <w:ilvl w:val="0"/>
          <w:numId w:val="2"/>
        </w:numPr>
        <w:autoSpaceDE w:val="0"/>
        <w:jc w:val="both"/>
        <w:rPr>
          <w:bCs/>
          <w:lang w:val="en-GB"/>
        </w:rPr>
      </w:pPr>
      <w:bookmarkStart w:id="16" w:name="_Ref409020267"/>
      <w:r w:rsidRPr="005D40AD">
        <w:rPr>
          <w:bCs/>
          <w:lang w:val="en-GB"/>
        </w:rPr>
        <w:t>Before turning to the examination of the merits of the complaint, the Panel needs to clarify the scope of its review.</w:t>
      </w:r>
      <w:bookmarkEnd w:id="16"/>
    </w:p>
    <w:p w:rsidR="003E3F85" w:rsidRPr="005D40AD" w:rsidRDefault="003E3F85" w:rsidP="003E3F85">
      <w:pPr>
        <w:autoSpaceDE w:val="0"/>
        <w:jc w:val="both"/>
        <w:rPr>
          <w:bCs/>
          <w:lang w:val="en-GB"/>
        </w:rPr>
      </w:pPr>
    </w:p>
    <w:p w:rsidR="003E3F85" w:rsidRPr="005D40AD" w:rsidRDefault="003E3F85" w:rsidP="003E3F85">
      <w:pPr>
        <w:pStyle w:val="ListParagraph"/>
        <w:numPr>
          <w:ilvl w:val="0"/>
          <w:numId w:val="2"/>
        </w:numPr>
        <w:autoSpaceDE w:val="0"/>
        <w:jc w:val="both"/>
        <w:rPr>
          <w:lang w:val="en-GB"/>
        </w:rPr>
      </w:pPr>
      <w:bookmarkStart w:id="17" w:name="_Ref366160496"/>
      <w:r w:rsidRPr="005D40AD">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7"/>
      <w:r w:rsidRPr="005D40AD">
        <w:rPr>
          <w:lang w:val="en-GB"/>
        </w:rPr>
        <w:t xml:space="preserve"> </w:t>
      </w:r>
    </w:p>
    <w:p w:rsidR="003E3F85" w:rsidRPr="005D40AD" w:rsidRDefault="003E3F85" w:rsidP="003E3F85">
      <w:pPr>
        <w:tabs>
          <w:tab w:val="left" w:pos="360"/>
        </w:tabs>
        <w:autoSpaceDE w:val="0"/>
        <w:ind w:left="360" w:hanging="360"/>
        <w:jc w:val="both"/>
        <w:rPr>
          <w:bCs/>
          <w:lang w:val="en-GB"/>
        </w:rPr>
      </w:pPr>
    </w:p>
    <w:p w:rsidR="003E3F85" w:rsidRPr="005D40AD" w:rsidRDefault="003E3F85" w:rsidP="003E3F85">
      <w:pPr>
        <w:numPr>
          <w:ilvl w:val="0"/>
          <w:numId w:val="2"/>
        </w:numPr>
        <w:suppressAutoHyphens/>
        <w:autoSpaceDE w:val="0"/>
        <w:jc w:val="both"/>
        <w:rPr>
          <w:lang w:val="en-GB"/>
        </w:rPr>
      </w:pPr>
      <w:bookmarkStart w:id="18" w:name="_Ref347321462"/>
      <w:bookmarkStart w:id="19" w:name="_Ref317418022"/>
      <w:r w:rsidRPr="005D40AD">
        <w:rPr>
          <w:lang w:val="en-GB" w:eastAsia="nl-BE"/>
        </w:rPr>
        <w:t xml:space="preserve">The </w:t>
      </w:r>
      <w:r w:rsidRPr="005D40AD">
        <w:rPr>
          <w:bCs/>
          <w:lang w:val="en-GB"/>
        </w:rPr>
        <w:t>Panel</w:t>
      </w:r>
      <w:r w:rsidRPr="005D40AD">
        <w:rPr>
          <w:lang w:val="en-GB" w:eastAsia="nl-BE"/>
        </w:rPr>
        <w:t xml:space="preserve"> notes that with the adoption of the UNMIK Regulation No. 1999/1 on 25 July 1999 UNMIK undertook an obligation to observe internationally recognised human </w:t>
      </w:r>
      <w:r w:rsidRPr="005D40AD">
        <w:rPr>
          <w:bCs/>
          <w:lang w:val="en-GB"/>
        </w:rPr>
        <w:t>rights</w:t>
      </w:r>
      <w:r w:rsidRPr="005D40AD">
        <w:rPr>
          <w:lang w:val="en-GB" w:eastAsia="nl-BE"/>
        </w:rPr>
        <w:t xml:space="preserve"> standards in exercising its functions. This undertaking was detailed  in UNMIK Regulation No. 1999/24 of 12 December 1999, by which UNMIK assumed obligations under the following human rights instruments</w:t>
      </w:r>
      <w:r w:rsidRPr="005D40AD">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5D40AD">
          <w:rPr>
            <w:rStyle w:val="Hyperlink"/>
            <w:color w:val="auto"/>
            <w:u w:val="none"/>
            <w:lang w:val="en-GB"/>
          </w:rPr>
          <w:t>the Convention Against Torture and Other Cruel, Inhuman or Degrading Treatment or Punishment</w:t>
        </w:r>
      </w:hyperlink>
      <w:r w:rsidRPr="005D40AD">
        <w:rPr>
          <w:lang w:val="en-GB"/>
        </w:rPr>
        <w:t>, the Convention on the Rights of the Child.</w:t>
      </w:r>
      <w:bookmarkEnd w:id="18"/>
    </w:p>
    <w:p w:rsidR="003E3F85" w:rsidRPr="005D40AD" w:rsidRDefault="003E3F85" w:rsidP="003E3F85">
      <w:pPr>
        <w:tabs>
          <w:tab w:val="left" w:pos="360"/>
        </w:tabs>
        <w:suppressAutoHyphens/>
        <w:autoSpaceDE w:val="0"/>
        <w:ind w:left="360" w:hanging="360"/>
        <w:jc w:val="both"/>
        <w:rPr>
          <w:lang w:val="en-GB"/>
        </w:rPr>
      </w:pPr>
      <w:bookmarkStart w:id="20" w:name="_Ref317493050"/>
    </w:p>
    <w:p w:rsidR="003E3F85" w:rsidRPr="005D40AD" w:rsidRDefault="003E3F85" w:rsidP="003E3F85">
      <w:pPr>
        <w:numPr>
          <w:ilvl w:val="0"/>
          <w:numId w:val="2"/>
        </w:numPr>
        <w:suppressAutoHyphens/>
        <w:autoSpaceDE w:val="0"/>
        <w:jc w:val="both"/>
        <w:rPr>
          <w:lang w:val="en-GB"/>
        </w:rPr>
      </w:pPr>
      <w:bookmarkStart w:id="21" w:name="_Ref347495661"/>
      <w:r w:rsidRPr="005D40AD">
        <w:rPr>
          <w:rFonts w:cs="CAGLHH+TimesNewRoman"/>
          <w:lang w:val="en-GB"/>
        </w:rPr>
        <w:t xml:space="preserve">The Panel also notes that Section 1.2 of </w:t>
      </w:r>
      <w:r w:rsidRPr="005D40AD">
        <w:rPr>
          <w:bCs/>
          <w:lang w:val="en-GB"/>
        </w:rPr>
        <w:t xml:space="preserve">UNMIK Regulation No. 2006/12 of 23 March 2006 on the Establishment of the Human Rights Advisory Panel </w:t>
      </w:r>
      <w:r w:rsidRPr="005D40AD">
        <w:rPr>
          <w:rFonts w:cs="CAGLHH+TimesNewRoman"/>
          <w:lang w:val="en-GB"/>
        </w:rPr>
        <w:t xml:space="preserve">provides that the Panel “shall examine complaints from any person or group of individuals claiming to be the victim of a violation by UNMIK of (their) human rights”. It </w:t>
      </w:r>
      <w:r w:rsidRPr="005D40AD">
        <w:rPr>
          <w:bCs/>
          <w:lang w:val="en-GB"/>
        </w:rPr>
        <w:t>follows</w:t>
      </w:r>
      <w:r w:rsidRPr="005D40AD">
        <w:rPr>
          <w:rFonts w:cs="CAGLHH+TimesNewRoman"/>
          <w:lang w:val="en-GB"/>
        </w:rPr>
        <w:t xml:space="preserve"> that only acts or omissions attributable to UNMIK fall within the jurisdiction </w:t>
      </w:r>
      <w:r w:rsidRPr="005D40AD">
        <w:rPr>
          <w:rFonts w:cs="CAGLHH+TimesNewRoman"/>
          <w:i/>
          <w:lang w:val="en-GB"/>
        </w:rPr>
        <w:t>ratione personae</w:t>
      </w:r>
      <w:r w:rsidRPr="005D40AD">
        <w:rPr>
          <w:rFonts w:cs="CAGLHH+TimesNewRoman"/>
          <w:lang w:val="en-GB"/>
        </w:rPr>
        <w:t xml:space="preserve"> of the Panel. In this respect, it should be noted, as stated above, that as of </w:t>
      </w:r>
      <w:r w:rsidRPr="005D40AD">
        <w:rPr>
          <w:lang w:val="en-GB"/>
        </w:rPr>
        <w:t xml:space="preserve">9 December 2008, UNMIK </w:t>
      </w:r>
      <w:r w:rsidRPr="005D40AD">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5D40AD">
        <w:rPr>
          <w:bCs/>
          <w:i/>
          <w:lang w:val="en-GB"/>
        </w:rPr>
        <w:t>ratione personae</w:t>
      </w:r>
      <w:r w:rsidRPr="005D40AD">
        <w:rPr>
          <w:bCs/>
          <w:lang w:val="en-GB"/>
        </w:rPr>
        <w:t xml:space="preserve"> of the Panel.</w:t>
      </w:r>
      <w:bookmarkEnd w:id="20"/>
      <w:bookmarkEnd w:id="21"/>
    </w:p>
    <w:p w:rsidR="003E3F85" w:rsidRPr="005D40AD" w:rsidRDefault="003E3F85" w:rsidP="003E3F85">
      <w:pPr>
        <w:pStyle w:val="ListParagraph"/>
        <w:tabs>
          <w:tab w:val="left" w:pos="360"/>
        </w:tabs>
        <w:ind w:left="360" w:hanging="360"/>
        <w:rPr>
          <w:lang w:val="en-GB"/>
        </w:rPr>
      </w:pPr>
    </w:p>
    <w:p w:rsidR="003E3F85" w:rsidRPr="005D40AD" w:rsidRDefault="003E3F85" w:rsidP="003E3F85">
      <w:pPr>
        <w:numPr>
          <w:ilvl w:val="0"/>
          <w:numId w:val="2"/>
        </w:numPr>
        <w:suppressAutoHyphens/>
        <w:autoSpaceDE w:val="0"/>
        <w:jc w:val="both"/>
        <w:rPr>
          <w:bCs/>
          <w:lang w:val="en-GB"/>
        </w:rPr>
      </w:pPr>
      <w:bookmarkStart w:id="22" w:name="_Ref409020276"/>
      <w:r w:rsidRPr="005D40AD">
        <w:rPr>
          <w:rFonts w:cs="CAGLHH+TimesNewRoman"/>
          <w:lang w:val="en-GB"/>
        </w:rPr>
        <w:t xml:space="preserve">Likewise, the Panel emphasises that, as far as its jurisdiction </w:t>
      </w:r>
      <w:r w:rsidRPr="005D40AD">
        <w:rPr>
          <w:rFonts w:cs="CAGLHH+TimesNewRoman"/>
          <w:i/>
          <w:lang w:val="en-GB"/>
        </w:rPr>
        <w:t>ratione materiae</w:t>
      </w:r>
      <w:r w:rsidRPr="005D40AD">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5D40AD">
        <w:fldChar w:fldCharType="begin"/>
      </w:r>
      <w:r w:rsidRPr="005D40AD">
        <w:instrText xml:space="preserve"> REF _Ref347321462 \r \h  \* MERGEFORMAT </w:instrText>
      </w:r>
      <w:r w:rsidRPr="005D40AD">
        <w:fldChar w:fldCharType="separate"/>
      </w:r>
      <w:r w:rsidR="00AC127D" w:rsidRPr="00AC127D">
        <w:rPr>
          <w:rFonts w:cs="CAGLHH+TimesNewRoman"/>
          <w:lang w:val="en-GB"/>
        </w:rPr>
        <w:t>29</w:t>
      </w:r>
      <w:r w:rsidRPr="005D40AD">
        <w:fldChar w:fldCharType="end"/>
      </w:r>
      <w:r w:rsidRPr="005D40AD">
        <w:rPr>
          <w:rFonts w:cs="CAGLHH+TimesNewRoman"/>
          <w:lang w:val="en-GB"/>
        </w:rPr>
        <w:t>).</w:t>
      </w:r>
      <w:r w:rsidRPr="005D40A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22"/>
    </w:p>
    <w:p w:rsidR="003E3F85" w:rsidRPr="005D40AD" w:rsidRDefault="003E3F85" w:rsidP="003E3F85">
      <w:pPr>
        <w:pStyle w:val="ListParagraph"/>
        <w:tabs>
          <w:tab w:val="left" w:pos="360"/>
        </w:tabs>
        <w:ind w:left="360" w:hanging="360"/>
        <w:rPr>
          <w:bCs/>
          <w:lang w:val="en-GB"/>
        </w:rPr>
      </w:pPr>
    </w:p>
    <w:p w:rsidR="00820066" w:rsidRDefault="003E3F85" w:rsidP="00820066">
      <w:pPr>
        <w:numPr>
          <w:ilvl w:val="0"/>
          <w:numId w:val="2"/>
        </w:numPr>
        <w:tabs>
          <w:tab w:val="left" w:pos="630"/>
          <w:tab w:val="left" w:pos="2790"/>
        </w:tabs>
        <w:suppressAutoHyphens/>
        <w:autoSpaceDE w:val="0"/>
        <w:jc w:val="both"/>
        <w:rPr>
          <w:bCs/>
          <w:lang w:val="en-GB"/>
        </w:rPr>
      </w:pPr>
      <w:bookmarkStart w:id="23" w:name="_Ref346123885"/>
      <w:r w:rsidRPr="005D40AD">
        <w:rPr>
          <w:bCs/>
          <w:lang w:val="en-GB"/>
        </w:rPr>
        <w:t>The Panel further notes that Section 2 of UNMIK Regulation No. 2006/12 provides that t</w:t>
      </w:r>
      <w:r w:rsidRPr="005D40AD">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5D40AD">
        <w:rPr>
          <w:rFonts w:cs="CAGLHH+TimesNewRoman"/>
          <w:i/>
          <w:lang w:val="en-GB"/>
        </w:rPr>
        <w:t>ratione temporis</w:t>
      </w:r>
      <w:r w:rsidRPr="005D40AD">
        <w:rPr>
          <w:rFonts w:cs="CAGLHH+TimesNewRoman"/>
          <w:lang w:val="en-GB"/>
        </w:rPr>
        <w:t xml:space="preserve"> of the Panel. However, to the extent that such events gave rise to a continuing situation, the Panel has jurisdiction to examine complaints relating to that situation</w:t>
      </w:r>
      <w:bookmarkEnd w:id="19"/>
      <w:r w:rsidRPr="005D40AD">
        <w:rPr>
          <w:rFonts w:cs="CAGLHH+TimesNewRoman"/>
          <w:lang w:val="en-GB"/>
        </w:rPr>
        <w:t xml:space="preserve"> (see European Court of Human Rights (ECtHR), Grand Chamber [GC], </w:t>
      </w:r>
      <w:r w:rsidRPr="005D40AD">
        <w:rPr>
          <w:rFonts w:cs="CAGLHH+TimesNewRoman"/>
          <w:i/>
          <w:lang w:val="en-GB"/>
        </w:rPr>
        <w:t>Varnava and Others v. Turkey</w:t>
      </w:r>
      <w:r w:rsidRPr="005D40AD">
        <w:rPr>
          <w:rFonts w:cs="CAGLHH+TimesNewRoman"/>
          <w:lang w:val="en-GB"/>
        </w:rPr>
        <w:t xml:space="preserve">, nos. 16064/90 and others, judgment of 18 September 2009, §§ 147-149; ECtHR, </w:t>
      </w:r>
      <w:r w:rsidRPr="005D40AD">
        <w:rPr>
          <w:rFonts w:cs="CAGLHH+TimesNewRoman"/>
          <w:i/>
          <w:lang w:val="en-GB"/>
        </w:rPr>
        <w:t xml:space="preserve">Cyprus v. Turkey </w:t>
      </w:r>
      <w:r w:rsidRPr="005D40AD">
        <w:rPr>
          <w:rFonts w:cs="CAGLHH+TimesNewRoman"/>
          <w:lang w:val="en-GB"/>
        </w:rPr>
        <w:t xml:space="preserve">[GC] no. </w:t>
      </w:r>
      <w:r w:rsidRPr="005D40AD">
        <w:rPr>
          <w:rStyle w:val="s85f22697"/>
          <w:lang w:val="en-GB"/>
        </w:rPr>
        <w:t>25781/94, judgment of 10 May 2001,</w:t>
      </w:r>
      <w:r w:rsidRPr="005D40AD">
        <w:rPr>
          <w:rFonts w:cs="CAGLHH+TimesNewRoman"/>
          <w:lang w:val="en-GB"/>
        </w:rPr>
        <w:t xml:space="preserve"> § 136, ECHR 2001-IV).</w:t>
      </w:r>
      <w:bookmarkEnd w:id="23"/>
      <w:r w:rsidRPr="005D40AD">
        <w:rPr>
          <w:rFonts w:cs="CAGLHH+TimesNewRoman"/>
          <w:lang w:val="en-GB"/>
        </w:rPr>
        <w:t xml:space="preserve"> </w:t>
      </w:r>
    </w:p>
    <w:p w:rsidR="00820066" w:rsidRDefault="00820066" w:rsidP="00820066">
      <w:pPr>
        <w:tabs>
          <w:tab w:val="left" w:pos="360"/>
          <w:tab w:val="left" w:pos="630"/>
          <w:tab w:val="left" w:pos="2790"/>
        </w:tabs>
        <w:suppressAutoHyphens/>
        <w:autoSpaceDE w:val="0"/>
        <w:jc w:val="both"/>
        <w:rPr>
          <w:b/>
          <w:lang w:val="en-GB" w:eastAsia="ar-SA"/>
        </w:rPr>
      </w:pPr>
    </w:p>
    <w:p w:rsidR="00820066" w:rsidRPr="00820066" w:rsidRDefault="00820066" w:rsidP="0099174E">
      <w:pPr>
        <w:pStyle w:val="ListParagraph"/>
        <w:numPr>
          <w:ilvl w:val="4"/>
          <w:numId w:val="25"/>
        </w:numPr>
        <w:tabs>
          <w:tab w:val="left" w:pos="360"/>
          <w:tab w:val="left" w:pos="630"/>
          <w:tab w:val="left" w:pos="2790"/>
        </w:tabs>
        <w:autoSpaceDE w:val="0"/>
        <w:ind w:hanging="810"/>
        <w:jc w:val="both"/>
        <w:rPr>
          <w:bCs/>
          <w:lang w:val="en-GB"/>
        </w:rPr>
      </w:pPr>
      <w:r w:rsidRPr="00820066">
        <w:rPr>
          <w:b/>
          <w:lang w:val="en-GB"/>
        </w:rPr>
        <w:t xml:space="preserve">Alleged violation of </w:t>
      </w:r>
      <w:r w:rsidRPr="00820066">
        <w:rPr>
          <w:b/>
        </w:rPr>
        <w:t>the procedural obligation under</w:t>
      </w:r>
      <w:r w:rsidRPr="00820066">
        <w:rPr>
          <w:b/>
          <w:i/>
        </w:rPr>
        <w:t xml:space="preserve"> </w:t>
      </w:r>
      <w:r w:rsidRPr="00820066">
        <w:rPr>
          <w:b/>
          <w:lang w:val="en-GB"/>
        </w:rPr>
        <w:t>Article 2 of the ECHR</w:t>
      </w:r>
    </w:p>
    <w:p w:rsidR="00820066" w:rsidRDefault="00820066" w:rsidP="00820066">
      <w:pPr>
        <w:pStyle w:val="ListParagraph"/>
        <w:tabs>
          <w:tab w:val="left" w:pos="360"/>
        </w:tabs>
        <w:suppressAutoHyphens w:val="0"/>
        <w:autoSpaceDE w:val="0"/>
        <w:ind w:left="360" w:hanging="360"/>
        <w:contextualSpacing/>
        <w:jc w:val="both"/>
        <w:rPr>
          <w:b/>
          <w:bCs/>
          <w:lang w:val="en-GB"/>
        </w:rPr>
      </w:pPr>
    </w:p>
    <w:p w:rsidR="00820066" w:rsidRDefault="00820066" w:rsidP="00820066">
      <w:pPr>
        <w:numPr>
          <w:ilvl w:val="0"/>
          <w:numId w:val="2"/>
        </w:numPr>
        <w:tabs>
          <w:tab w:val="left" w:pos="360"/>
        </w:tabs>
        <w:suppressAutoHyphens/>
        <w:autoSpaceDE w:val="0"/>
        <w:jc w:val="both"/>
        <w:rPr>
          <w:bCs/>
          <w:lang w:val="en-GB"/>
        </w:rPr>
      </w:pPr>
      <w:r>
        <w:rPr>
          <w:bCs/>
          <w:lang w:val="en-GB"/>
        </w:rPr>
        <w:t xml:space="preserve">The Panel considers that the complainant invokes a violation of the procedural obligation stemming from the right to life, guaranteed by Article 2 of the European Convention on Human Rights (ECHR) in that </w:t>
      </w:r>
      <w:r>
        <w:rPr>
          <w:bCs/>
        </w:rPr>
        <w:t xml:space="preserve">UNMIK Police did not conduct an effective investigation into his father’s </w:t>
      </w:r>
      <w:r w:rsidR="0057329D">
        <w:rPr>
          <w:bCs/>
        </w:rPr>
        <w:t>abduction</w:t>
      </w:r>
      <w:r>
        <w:rPr>
          <w:bCs/>
        </w:rPr>
        <w:t xml:space="preserve"> and </w:t>
      </w:r>
      <w:r w:rsidR="0057329D">
        <w:rPr>
          <w:bCs/>
        </w:rPr>
        <w:t>killing</w:t>
      </w:r>
      <w:r>
        <w:rPr>
          <w:lang w:val="en-GB"/>
        </w:rPr>
        <w:t>.</w:t>
      </w:r>
    </w:p>
    <w:p w:rsidR="003E3F85" w:rsidRPr="005D40AD" w:rsidRDefault="003E3F85" w:rsidP="003E3F85">
      <w:pPr>
        <w:jc w:val="both"/>
        <w:rPr>
          <w:lang w:val="en-GB"/>
        </w:rPr>
      </w:pPr>
    </w:p>
    <w:p w:rsidR="003E3F85" w:rsidRPr="005D40AD" w:rsidRDefault="003E3F85" w:rsidP="003E3F85">
      <w:pPr>
        <w:pStyle w:val="ListParagraph"/>
        <w:numPr>
          <w:ilvl w:val="1"/>
          <w:numId w:val="1"/>
        </w:numPr>
        <w:tabs>
          <w:tab w:val="clear" w:pos="360"/>
          <w:tab w:val="left" w:pos="357"/>
        </w:tabs>
        <w:autoSpaceDE w:val="0"/>
        <w:contextualSpacing/>
        <w:jc w:val="both"/>
        <w:rPr>
          <w:b/>
          <w:bCs/>
          <w:lang w:val="en-GB"/>
        </w:rPr>
      </w:pPr>
      <w:r w:rsidRPr="005D40AD">
        <w:rPr>
          <w:b/>
          <w:bCs/>
          <w:lang w:val="en-GB"/>
        </w:rPr>
        <w:t xml:space="preserve">The Parties’ submissions </w:t>
      </w:r>
    </w:p>
    <w:p w:rsidR="003E3F85" w:rsidRPr="005D40AD" w:rsidRDefault="003E3F85" w:rsidP="003E3F85">
      <w:pPr>
        <w:rPr>
          <w:b/>
          <w:lang w:val="en-GB"/>
        </w:rPr>
      </w:pPr>
    </w:p>
    <w:p w:rsidR="003E3F85" w:rsidRPr="00BB555C" w:rsidRDefault="003E3F85" w:rsidP="008A0B27">
      <w:pPr>
        <w:numPr>
          <w:ilvl w:val="0"/>
          <w:numId w:val="2"/>
        </w:numPr>
        <w:suppressAutoHyphens/>
        <w:autoSpaceDE w:val="0"/>
        <w:rPr>
          <w:lang w:val="en-GB"/>
        </w:rPr>
      </w:pPr>
      <w:r w:rsidRPr="00BB555C">
        <w:rPr>
          <w:lang w:val="en-GB"/>
        </w:rPr>
        <w:t>The complainant in substance alleges a violation concerning the lack of an adequate criminal investigation into</w:t>
      </w:r>
      <w:r w:rsidR="002948A6" w:rsidRPr="00BB555C">
        <w:rPr>
          <w:lang w:val="en-GB"/>
        </w:rPr>
        <w:t xml:space="preserve"> the</w:t>
      </w:r>
      <w:r w:rsidR="00991DCC" w:rsidRPr="00BB555C">
        <w:rPr>
          <w:lang w:val="en-GB"/>
        </w:rPr>
        <w:t xml:space="preserve"> </w:t>
      </w:r>
      <w:r w:rsidR="00600E12" w:rsidRPr="00BB555C">
        <w:rPr>
          <w:lang w:val="en-GB"/>
        </w:rPr>
        <w:t xml:space="preserve">abduction and killing </w:t>
      </w:r>
      <w:r w:rsidR="008A0B27" w:rsidRPr="00BB555C">
        <w:rPr>
          <w:lang w:val="en-GB"/>
        </w:rPr>
        <w:t xml:space="preserve">of </w:t>
      </w:r>
      <w:proofErr w:type="spellStart"/>
      <w:r w:rsidR="003443B0" w:rsidRPr="00BB555C">
        <w:t>Mr</w:t>
      </w:r>
      <w:proofErr w:type="spellEnd"/>
      <w:r w:rsidR="003443B0" w:rsidRPr="00BB555C">
        <w:t xml:space="preserve"> </w:t>
      </w:r>
      <w:proofErr w:type="spellStart"/>
      <w:r w:rsidR="003443B0" w:rsidRPr="00BB555C">
        <w:t>Momčilo</w:t>
      </w:r>
      <w:proofErr w:type="spellEnd"/>
      <w:r w:rsidR="003443B0" w:rsidRPr="00BB555C">
        <w:t xml:space="preserve"> </w:t>
      </w:r>
      <w:proofErr w:type="spellStart"/>
      <w:r w:rsidR="003443B0" w:rsidRPr="00BB555C">
        <w:t>Joksimović</w:t>
      </w:r>
      <w:proofErr w:type="spellEnd"/>
      <w:r w:rsidR="00991DCC" w:rsidRPr="00BB555C">
        <w:t>.</w:t>
      </w:r>
    </w:p>
    <w:p w:rsidR="00690929" w:rsidRPr="00BB555C" w:rsidRDefault="00690929" w:rsidP="00690929">
      <w:pPr>
        <w:suppressAutoHyphens/>
        <w:autoSpaceDE w:val="0"/>
        <w:rPr>
          <w:lang w:val="en-GB"/>
        </w:rPr>
      </w:pPr>
    </w:p>
    <w:p w:rsidR="00690929" w:rsidRPr="00BB555C" w:rsidRDefault="00690929" w:rsidP="00690929">
      <w:pPr>
        <w:numPr>
          <w:ilvl w:val="0"/>
          <w:numId w:val="2"/>
        </w:numPr>
        <w:suppressAutoHyphens/>
        <w:autoSpaceDE w:val="0"/>
        <w:jc w:val="both"/>
        <w:rPr>
          <w:bCs/>
          <w:lang w:val="en-GB"/>
        </w:rPr>
      </w:pPr>
      <w:r w:rsidRPr="00BB555C">
        <w:rPr>
          <w:bCs/>
          <w:lang w:val="en-GB"/>
        </w:rPr>
        <w:t xml:space="preserve">At the outset the SRSG addressed the absence of investigative files by stating “[i]n the instant matter, UNMIK requested from EULEX copies of relevant files previously held by the former UNMIK [WCIU] and/or by the [OMPF], that were </w:t>
      </w:r>
      <w:r w:rsidR="00E121A7" w:rsidRPr="00BB555C">
        <w:rPr>
          <w:bCs/>
          <w:lang w:val="en-GB"/>
        </w:rPr>
        <w:t xml:space="preserve">transferred to EULEX after </w:t>
      </w:r>
      <w:r w:rsidRPr="00BB555C">
        <w:rPr>
          <w:bCs/>
          <w:lang w:val="en-GB"/>
        </w:rPr>
        <w:t>2008. UNMIK, as of the date of this submission, has received no files which belong to the former [WCIU] nor from the [OMPF], as the victim in the instant matter is not a missing person, and the alleged crimes does not amount to a war crime. The instant matter is a case of death occurred sometime between 7 and 16 November 1999, i.e. not at or around the time of the conflict in Kosovo. UNMIK requested also the Office of the UNMIK Senior Police Advisor (SPOLAD) to check the records held by the former Central Crime Investigation Unit (CCIU), as well as by the Kosovo Police Information System (KPIS) whether there was any information related to the instant matter. The only information that SPOLAD could find was obtained from KPIS and it consisted of only an Initial/Incident Report dated 9 November 1999 (“the Report”). We attach a copy of the Report and reiterate that EULEX was not able to provide any files relevant to the instant case.”</w:t>
      </w:r>
    </w:p>
    <w:p w:rsidR="00690929" w:rsidRPr="00BB555C" w:rsidRDefault="00690929" w:rsidP="00690929">
      <w:pPr>
        <w:suppressAutoHyphens/>
        <w:autoSpaceDE w:val="0"/>
        <w:ind w:left="360"/>
        <w:jc w:val="both"/>
        <w:rPr>
          <w:bCs/>
          <w:lang w:val="en-GB"/>
        </w:rPr>
      </w:pPr>
    </w:p>
    <w:p w:rsidR="00690929" w:rsidRPr="00BB555C" w:rsidRDefault="00690929" w:rsidP="00690929">
      <w:pPr>
        <w:numPr>
          <w:ilvl w:val="0"/>
          <w:numId w:val="2"/>
        </w:numPr>
        <w:suppressAutoHyphens/>
        <w:autoSpaceDE w:val="0"/>
        <w:jc w:val="both"/>
        <w:rPr>
          <w:bCs/>
          <w:lang w:val="en-GB"/>
        </w:rPr>
      </w:pPr>
      <w:r w:rsidRPr="00BB555C">
        <w:rPr>
          <w:bCs/>
          <w:lang w:val="en-GB"/>
        </w:rPr>
        <w:t>The SRSG argues that UNMIK was “obliged to handover all police files, without exception, to EULEX, pursuant to the United Nations Security Council presidential statement of 26 November 2008 and agreements entered into with EULEX. Upon UNMIK’s transfer of all police files to EULEX, UNMIK ceased to be the custodian of police records in Kosovo and could not, as a matter of principle, retain copies of classified and on-going police investigation files. UNMIK, having discharged its responsibility to hand over all police records to EULEX, may now seek permission to access such records for archiving purposes in accordance with conventional practice and agreements made with EULEX. EULEX, based on its own assessment, including any prevailing operational requirements, may, or may not, release, or release only in part, such investigation records. UNMIK therefore notes that a failure to transmit a complete investigation file to the HRAP cannot lead the HRAP to the irrefutable presumption that UNMIK failed to carry over out a proper investigation or that files were not fully and accurately handed over by UNMIK to EULEX. For this reason, UNMIK reserves its right to make additional comments on the instant matter at any further stage, should additional pertinent files be made available to it.”</w:t>
      </w:r>
    </w:p>
    <w:p w:rsidR="002948A6" w:rsidRPr="005D40AD" w:rsidRDefault="002948A6" w:rsidP="002948A6">
      <w:pPr>
        <w:suppressAutoHyphens/>
        <w:autoSpaceDE w:val="0"/>
        <w:ind w:left="360"/>
        <w:jc w:val="both"/>
        <w:rPr>
          <w:lang w:val="en-GB"/>
        </w:rPr>
      </w:pPr>
    </w:p>
    <w:p w:rsidR="003E3F85" w:rsidRPr="005D40AD" w:rsidRDefault="003E3F85" w:rsidP="003E3F85">
      <w:pPr>
        <w:numPr>
          <w:ilvl w:val="0"/>
          <w:numId w:val="2"/>
        </w:numPr>
        <w:suppressAutoHyphens/>
        <w:autoSpaceDE w:val="0"/>
        <w:jc w:val="both"/>
        <w:rPr>
          <w:bCs/>
          <w:lang w:val="en-GB"/>
        </w:rPr>
      </w:pPr>
      <w:r w:rsidRPr="005D40AD">
        <w:rPr>
          <w:bCs/>
          <w:lang w:val="en-GB"/>
        </w:rPr>
        <w:t xml:space="preserve">In his comments on the merits of the complaint, the SRSG </w:t>
      </w:r>
      <w:r w:rsidRPr="005D40AD">
        <w:rPr>
          <w:lang w:val="en-GB"/>
        </w:rPr>
        <w:t xml:space="preserve">does not dispute </w:t>
      </w:r>
      <w:r w:rsidRPr="005D40AD">
        <w:rPr>
          <w:bCs/>
          <w:lang w:val="en-GB"/>
        </w:rPr>
        <w:t xml:space="preserve">that UNMIK had a responsibility to conduct an effective investigation into </w:t>
      </w:r>
      <w:r w:rsidR="00991DCC" w:rsidRPr="005D40AD">
        <w:rPr>
          <w:lang w:val="en-GB"/>
        </w:rPr>
        <w:t xml:space="preserve">the </w:t>
      </w:r>
      <w:r w:rsidR="003868D8" w:rsidRPr="005D40AD">
        <w:rPr>
          <w:lang w:val="en-GB"/>
        </w:rPr>
        <w:t>abduction and killing</w:t>
      </w:r>
      <w:r w:rsidR="008A0B27" w:rsidRPr="005D40AD">
        <w:rPr>
          <w:lang w:val="en-GB"/>
        </w:rPr>
        <w:t xml:space="preserve"> of </w:t>
      </w:r>
      <w:proofErr w:type="spellStart"/>
      <w:r w:rsidR="003443B0">
        <w:t>Mr</w:t>
      </w:r>
      <w:proofErr w:type="spellEnd"/>
      <w:r w:rsidR="003443B0">
        <w:t xml:space="preserve"> </w:t>
      </w:r>
      <w:proofErr w:type="spellStart"/>
      <w:r w:rsidR="003443B0">
        <w:t>Momčilo</w:t>
      </w:r>
      <w:proofErr w:type="spellEnd"/>
      <w:r w:rsidR="003443B0">
        <w:t xml:space="preserve"> </w:t>
      </w:r>
      <w:proofErr w:type="spellStart"/>
      <w:r w:rsidR="003443B0">
        <w:t>Joksimović</w:t>
      </w:r>
      <w:proofErr w:type="spellEnd"/>
      <w:r w:rsidRPr="005D40AD">
        <w:rPr>
          <w:b/>
          <w:bCs/>
          <w:lang w:val="en-GB"/>
        </w:rPr>
        <w:t>,</w:t>
      </w:r>
      <w:r w:rsidRPr="005D40AD">
        <w:rPr>
          <w:bCs/>
          <w:lang w:val="en-GB"/>
        </w:rPr>
        <w:t xml:space="preserve"> in line with its general obligation to secure the effective implementation of the domestic </w:t>
      </w:r>
      <w:r w:rsidRPr="00BB555C">
        <w:rPr>
          <w:bCs/>
          <w:lang w:val="en-GB"/>
        </w:rPr>
        <w:t xml:space="preserve">laws which protect the right to life, given to it by UN Security Council Resolution 1244 (1999) (see § </w:t>
      </w:r>
      <w:r w:rsidRPr="00BB555C">
        <w:fldChar w:fldCharType="begin"/>
      </w:r>
      <w:r w:rsidRPr="00BB555C">
        <w:instrText xml:space="preserve"> REF _Ref373941473 \r \h  \* MERGEFORMAT </w:instrText>
      </w:r>
      <w:r w:rsidRPr="00BB555C">
        <w:fldChar w:fldCharType="separate"/>
      </w:r>
      <w:r w:rsidR="00AC127D" w:rsidRPr="00AC127D">
        <w:rPr>
          <w:bCs/>
          <w:lang w:val="en-GB"/>
        </w:rPr>
        <w:t>11</w:t>
      </w:r>
      <w:r w:rsidRPr="00BB555C">
        <w:fldChar w:fldCharType="end"/>
      </w:r>
      <w:r w:rsidRPr="00BB555C">
        <w:rPr>
          <w:bCs/>
          <w:lang w:val="en-GB"/>
        </w:rPr>
        <w:t xml:space="preserve"> above)</w:t>
      </w:r>
      <w:r w:rsidRPr="005D40AD">
        <w:rPr>
          <w:bCs/>
          <w:lang w:val="en-GB"/>
        </w:rPr>
        <w:t xml:space="preserve"> and further defined by UNMIK Regulation No. 1999/1 </w:t>
      </w:r>
      <w:r w:rsidRPr="005D40AD">
        <w:rPr>
          <w:bCs/>
          <w:i/>
          <w:lang w:val="en-GB"/>
        </w:rPr>
        <w:t>On the Authority of the Interim Administration in Kosovo</w:t>
      </w:r>
      <w:r w:rsidRPr="005D40AD">
        <w:rPr>
          <w:bCs/>
          <w:lang w:val="en-GB"/>
        </w:rPr>
        <w:t xml:space="preserve"> and subsequently, UNMIK Regulation 1999/24 </w:t>
      </w:r>
      <w:r w:rsidRPr="005D40AD">
        <w:rPr>
          <w:bCs/>
          <w:i/>
          <w:lang w:val="en-GB"/>
        </w:rPr>
        <w:t>On the Law Applicable in Kosovo,</w:t>
      </w:r>
      <w:r w:rsidRPr="005D40AD">
        <w:rPr>
          <w:bCs/>
          <w:lang w:val="en-GB"/>
        </w:rPr>
        <w:t xml:space="preserve"> and Article 2 of the ECHR.</w:t>
      </w:r>
    </w:p>
    <w:p w:rsidR="003E3F85" w:rsidRPr="005D40AD" w:rsidRDefault="003E3F85" w:rsidP="00DF76A9">
      <w:pPr>
        <w:suppressAutoHyphens/>
        <w:autoSpaceDE w:val="0"/>
        <w:jc w:val="both"/>
        <w:rPr>
          <w:bCs/>
          <w:lang w:val="en-GB"/>
        </w:rPr>
      </w:pPr>
    </w:p>
    <w:p w:rsidR="003E3F85" w:rsidRDefault="003E3F85" w:rsidP="003E3F85">
      <w:pPr>
        <w:numPr>
          <w:ilvl w:val="0"/>
          <w:numId w:val="2"/>
        </w:numPr>
        <w:suppressAutoHyphens/>
        <w:autoSpaceDE w:val="0"/>
        <w:jc w:val="both"/>
        <w:rPr>
          <w:bCs/>
          <w:lang w:val="en-GB"/>
        </w:rPr>
      </w:pPr>
      <w:r w:rsidRPr="005D40AD">
        <w:t>In this regard, the SRSG stresses that this responsibility stems from the procedural obligation under Article 2 of the ECHR to conduct an effective investigation where death occurs in suspicious circumstances not imputable to State agents.</w:t>
      </w:r>
      <w:bookmarkStart w:id="24" w:name="_Ref347846976"/>
      <w:r w:rsidRPr="005D40AD">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24"/>
    </w:p>
    <w:p w:rsidR="00BD43B1" w:rsidRPr="005D40AD" w:rsidRDefault="00BD43B1" w:rsidP="00BD43B1">
      <w:pPr>
        <w:pStyle w:val="ListParagraph"/>
        <w:rPr>
          <w:bCs/>
          <w:lang w:val="en-GB"/>
        </w:rPr>
      </w:pPr>
    </w:p>
    <w:p w:rsidR="003E3F85" w:rsidRPr="00BB555C" w:rsidRDefault="003E3F85" w:rsidP="003E3F85">
      <w:pPr>
        <w:numPr>
          <w:ilvl w:val="0"/>
          <w:numId w:val="2"/>
        </w:numPr>
        <w:tabs>
          <w:tab w:val="left" w:pos="709"/>
        </w:tabs>
        <w:suppressAutoHyphens/>
        <w:autoSpaceDE w:val="0"/>
        <w:jc w:val="both"/>
        <w:rPr>
          <w:lang w:eastAsia="nl-NL"/>
        </w:rPr>
      </w:pPr>
      <w:bookmarkStart w:id="25" w:name="_Ref373942084"/>
      <w:r w:rsidRPr="00BB555C">
        <w:t xml:space="preserve">The </w:t>
      </w:r>
      <w:r w:rsidRPr="00BB555C">
        <w:rPr>
          <w:bCs/>
          <w:lang w:val="en-GB"/>
        </w:rPr>
        <w:t>SRSG</w:t>
      </w:r>
      <w:r w:rsidRPr="00BB555C">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25"/>
    </w:p>
    <w:p w:rsidR="003E3F85" w:rsidRPr="00BB555C" w:rsidRDefault="003E3F85" w:rsidP="003E3F85">
      <w:pPr>
        <w:pStyle w:val="ListParagraph"/>
        <w:rPr>
          <w:lang w:eastAsia="nl-NL"/>
        </w:rPr>
      </w:pPr>
    </w:p>
    <w:p w:rsidR="003E3F85" w:rsidRPr="00BB555C" w:rsidRDefault="003E3F85" w:rsidP="005133A1">
      <w:pPr>
        <w:ind w:left="709" w:right="429"/>
        <w:jc w:val="both"/>
        <w:rPr>
          <w:lang w:eastAsia="nl-NL"/>
        </w:rPr>
      </w:pPr>
      <w:r w:rsidRPr="00BB555C">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BB555C" w:rsidRDefault="003E3F85" w:rsidP="003E3F85">
      <w:pPr>
        <w:pStyle w:val="ListParagraph"/>
        <w:jc w:val="both"/>
        <w:rPr>
          <w:lang w:eastAsia="nl-NL"/>
        </w:rPr>
      </w:pPr>
    </w:p>
    <w:p w:rsidR="003E3F85" w:rsidRPr="00BB555C" w:rsidRDefault="003E3F85" w:rsidP="005133A1">
      <w:pPr>
        <w:ind w:left="709" w:right="429"/>
        <w:jc w:val="both"/>
        <w:rPr>
          <w:lang w:eastAsia="nl-NL"/>
        </w:rPr>
      </w:pPr>
      <w:r w:rsidRPr="00BB555C">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BB555C" w:rsidRDefault="003E3F85" w:rsidP="003E3F85">
      <w:pPr>
        <w:pStyle w:val="ListParagraph"/>
        <w:rPr>
          <w:lang w:eastAsia="en-US"/>
        </w:rPr>
      </w:pPr>
    </w:p>
    <w:p w:rsidR="001C2817" w:rsidRPr="00BB555C" w:rsidRDefault="001C2817" w:rsidP="001C2817">
      <w:pPr>
        <w:numPr>
          <w:ilvl w:val="0"/>
          <w:numId w:val="2"/>
        </w:numPr>
        <w:tabs>
          <w:tab w:val="left" w:pos="709"/>
        </w:tabs>
        <w:suppressAutoHyphens/>
        <w:autoSpaceDE w:val="0"/>
        <w:jc w:val="both"/>
        <w:rPr>
          <w:lang w:eastAsia="nl-NL"/>
        </w:rPr>
      </w:pPr>
      <w:r w:rsidRPr="00BB555C">
        <w:t>The SRSG states that UNMIK international police officers working on cases of missing persons had to adjust to conducting investigations in a</w:t>
      </w:r>
      <w:r w:rsidR="00630CAA" w:rsidRPr="00BB555C">
        <w:t xml:space="preserve"> foreign territory and cultures. He adds that the “</w:t>
      </w:r>
      <w:r w:rsidR="00114E12" w:rsidRPr="00BB555C">
        <w:t>[f]</w:t>
      </w:r>
      <w:proofErr w:type="spellStart"/>
      <w:r w:rsidR="00630CAA" w:rsidRPr="00BB555C">
        <w:t>ledgling</w:t>
      </w:r>
      <w:proofErr w:type="spellEnd"/>
      <w:r w:rsidR="00630CAA" w:rsidRPr="00BB555C">
        <w:t xml:space="preserve"> local police force could only provide a limited amount of support in many cases due to a lack of capacity and capability amongst its officers, who were working in a developing police institution and often had very little expertise in such investigations.</w:t>
      </w:r>
      <w:r w:rsidRPr="00BB555C">
        <w:t xml:space="preserve"> </w:t>
      </w:r>
    </w:p>
    <w:p w:rsidR="001C2817" w:rsidRPr="00BB555C" w:rsidRDefault="001C2817" w:rsidP="001C2817">
      <w:pPr>
        <w:tabs>
          <w:tab w:val="left" w:pos="709"/>
        </w:tabs>
        <w:suppressAutoHyphens/>
        <w:autoSpaceDE w:val="0"/>
        <w:ind w:left="360"/>
        <w:jc w:val="both"/>
        <w:rPr>
          <w:lang w:eastAsia="nl-NL"/>
        </w:rPr>
      </w:pPr>
    </w:p>
    <w:p w:rsidR="005701D6" w:rsidRPr="00BB555C" w:rsidRDefault="005701D6" w:rsidP="003E3F85">
      <w:pPr>
        <w:numPr>
          <w:ilvl w:val="0"/>
          <w:numId w:val="2"/>
        </w:numPr>
        <w:tabs>
          <w:tab w:val="left" w:pos="709"/>
        </w:tabs>
        <w:suppressAutoHyphens/>
        <w:autoSpaceDE w:val="0"/>
        <w:jc w:val="both"/>
        <w:rPr>
          <w:lang w:eastAsia="nl-NL"/>
        </w:rPr>
      </w:pPr>
      <w:r w:rsidRPr="00BB555C">
        <w:t>The SRSG</w:t>
      </w:r>
      <w:r w:rsidR="003E3F85" w:rsidRPr="00BB555C">
        <w:t xml:space="preserve"> further states that </w:t>
      </w:r>
      <w:r w:rsidR="00630CAA" w:rsidRPr="00BB555C">
        <w:t>“investigating and prosecuting persons responsible for unlawful killings in a post-conflict situation are fraught with obstacles and hurdles.”  He points out that “[a]</w:t>
      </w:r>
      <w:proofErr w:type="spellStart"/>
      <w:r w:rsidR="00630CAA" w:rsidRPr="00BB555C">
        <w:t>fter</w:t>
      </w:r>
      <w:proofErr w:type="spellEnd"/>
      <w:r w:rsidR="00630CAA" w:rsidRPr="00BB555C">
        <w:t xml:space="preserve"> the conflict in Kosovo, all institutions were non-functional, and had to be established from scratch. In Kosovo it is well documented that investigators were often faced with situations where individuals who may hold important information of knowledge on unlawful killings often</w:t>
      </w:r>
      <w:r w:rsidRPr="00BB555C">
        <w:t xml:space="preserve"> did not want to disclose such information either through interviews with UNMIK Police or by coming forward voluntarily. The little information received by UNMIK regarding the instant matter indicates that during the period under review by the HRAP, UNMIK had no relevant information to develop any investigative leads which UNMIK Police could concretely follow up. </w:t>
      </w:r>
    </w:p>
    <w:p w:rsidR="005701D6" w:rsidRPr="00BB555C" w:rsidRDefault="005701D6" w:rsidP="005701D6">
      <w:pPr>
        <w:pStyle w:val="ListParagraph"/>
      </w:pPr>
    </w:p>
    <w:p w:rsidR="005701D6" w:rsidRPr="00BB555C" w:rsidRDefault="005701D6" w:rsidP="003E3F85">
      <w:pPr>
        <w:numPr>
          <w:ilvl w:val="0"/>
          <w:numId w:val="2"/>
        </w:numPr>
        <w:tabs>
          <w:tab w:val="left" w:pos="709"/>
        </w:tabs>
        <w:suppressAutoHyphens/>
        <w:autoSpaceDE w:val="0"/>
        <w:jc w:val="both"/>
        <w:rPr>
          <w:lang w:eastAsia="nl-NL"/>
        </w:rPr>
      </w:pPr>
      <w:r w:rsidRPr="00BB555C">
        <w:t xml:space="preserve">He continues with “UNMIK has noted in other criminal investigation cases that, without witnesses come </w:t>
      </w:r>
      <w:r w:rsidR="006D1CD0" w:rsidRPr="00BB555C">
        <w:t>[</w:t>
      </w:r>
      <w:r w:rsidR="006D1CD0" w:rsidRPr="00BB555C">
        <w:rPr>
          <w:i/>
        </w:rPr>
        <w:t>sic</w:t>
      </w:r>
      <w:r w:rsidR="006D1CD0" w:rsidRPr="00BB555C">
        <w:t xml:space="preserve">] </w:t>
      </w:r>
      <w:r w:rsidRPr="00BB555C">
        <w:t xml:space="preserve">forward or physical evidence being discovered; police investigations inevitably stall because of a lack of evidence.” </w:t>
      </w:r>
    </w:p>
    <w:p w:rsidR="005701D6" w:rsidRPr="00BB555C" w:rsidRDefault="005701D6" w:rsidP="005701D6">
      <w:pPr>
        <w:pStyle w:val="ListParagraph"/>
      </w:pPr>
    </w:p>
    <w:p w:rsidR="00723DC0" w:rsidRPr="00BB555C" w:rsidRDefault="00723DC0" w:rsidP="00723DC0">
      <w:pPr>
        <w:numPr>
          <w:ilvl w:val="0"/>
          <w:numId w:val="2"/>
        </w:numPr>
        <w:tabs>
          <w:tab w:val="left" w:pos="709"/>
        </w:tabs>
        <w:suppressAutoHyphens/>
        <w:autoSpaceDE w:val="0"/>
        <w:jc w:val="both"/>
      </w:pPr>
      <w:r w:rsidRPr="00BB555C">
        <w:t>The SRSG argues that “[s]</w:t>
      </w:r>
      <w:proofErr w:type="spellStart"/>
      <w:r w:rsidRPr="00BB555C">
        <w:t>uch</w:t>
      </w:r>
      <w:proofErr w:type="spellEnd"/>
      <w:r w:rsidRPr="00BB555C">
        <w:t xml:space="preserve"> constrain</w:t>
      </w:r>
      <w:r w:rsidR="00E121A7" w:rsidRPr="00BB555C">
        <w:t>t</w:t>
      </w:r>
      <w:r w:rsidRPr="00BB555C">
        <w:t>s inhibited the ability of an institution such as UNMK Police to conduct all investigations in a manner, when viewed systematically, that may be demonstrated by, or at least expected from, other States with more established institutions not dealing with a post-conflict context.</w:t>
      </w:r>
      <w:r w:rsidR="00114E12" w:rsidRPr="00BB555C">
        <w:t>”</w:t>
      </w:r>
      <w:r w:rsidRPr="00BB555C">
        <w:t xml:space="preserve"> </w:t>
      </w:r>
    </w:p>
    <w:p w:rsidR="00114E12" w:rsidRPr="00BB555C" w:rsidRDefault="00114E12" w:rsidP="00114E12">
      <w:pPr>
        <w:pStyle w:val="ListParagraph"/>
      </w:pPr>
    </w:p>
    <w:p w:rsidR="00BA549E" w:rsidRPr="00BB555C" w:rsidRDefault="00376B82" w:rsidP="00BA549E">
      <w:pPr>
        <w:numPr>
          <w:ilvl w:val="0"/>
          <w:numId w:val="2"/>
        </w:numPr>
        <w:tabs>
          <w:tab w:val="left" w:pos="709"/>
        </w:tabs>
        <w:suppressAutoHyphens/>
        <w:autoSpaceDE w:val="0"/>
        <w:jc w:val="both"/>
      </w:pPr>
      <w:bookmarkStart w:id="26" w:name="_Ref430698247"/>
      <w:bookmarkStart w:id="27" w:name="_Ref387249369"/>
      <w:bookmarkStart w:id="28" w:name="_Ref373946471"/>
      <w:bookmarkStart w:id="29" w:name="_Ref420326925"/>
      <w:bookmarkStart w:id="30" w:name="_Ref419722599"/>
      <w:bookmarkStart w:id="31" w:name="_Ref418843155"/>
      <w:bookmarkStart w:id="32" w:name="_Ref416957328"/>
      <w:bookmarkStart w:id="33" w:name="_Ref414014986"/>
      <w:bookmarkStart w:id="34" w:name="_Ref400716090"/>
      <w:bookmarkStart w:id="35" w:name="_Ref397946236"/>
      <w:bookmarkStart w:id="36" w:name="_Ref390942754"/>
      <w:bookmarkStart w:id="37" w:name="_Ref401246390"/>
      <w:bookmarkStart w:id="38" w:name="_Ref366698716"/>
      <w:r w:rsidRPr="00BB555C">
        <w:t>W</w:t>
      </w:r>
      <w:r w:rsidR="00BF16B6" w:rsidRPr="00BB555C">
        <w:t>ith respect to the investigative activities of UNMIK Police</w:t>
      </w:r>
      <w:r w:rsidR="00690929" w:rsidRPr="00BB555C">
        <w:t xml:space="preserve"> in the present case</w:t>
      </w:r>
      <w:r w:rsidR="00BF16B6" w:rsidRPr="00BB555C">
        <w:t xml:space="preserve">, the </w:t>
      </w:r>
      <w:r w:rsidR="00C402D0" w:rsidRPr="00BB555C">
        <w:t xml:space="preserve">SRSG </w:t>
      </w:r>
      <w:r w:rsidR="00BF16B6" w:rsidRPr="00BB555C">
        <w:t xml:space="preserve">states </w:t>
      </w:r>
      <w:r w:rsidR="00C402D0" w:rsidRPr="00BB555C">
        <w:t>“</w:t>
      </w:r>
      <w:r w:rsidR="004B7C87" w:rsidRPr="00BB555C">
        <w:t xml:space="preserve">UNMIK has not received from EULEX any investigative files with regard to the death of Mr. </w:t>
      </w:r>
      <w:proofErr w:type="spellStart"/>
      <w:r w:rsidR="004B7C87" w:rsidRPr="00BB555C">
        <w:t>Momčilo</w:t>
      </w:r>
      <w:proofErr w:type="spellEnd"/>
      <w:r w:rsidR="004B7C87" w:rsidRPr="00BB555C">
        <w:t xml:space="preserve"> </w:t>
      </w:r>
      <w:proofErr w:type="spellStart"/>
      <w:r w:rsidR="004B7C87" w:rsidRPr="00BB555C">
        <w:t>Joksimović</w:t>
      </w:r>
      <w:proofErr w:type="spellEnd"/>
      <w:r w:rsidR="004B7C87" w:rsidRPr="00BB555C">
        <w:t xml:space="preserve">. The information contained in the Report states that on 08.11.1999 someone found an unknown dead body </w:t>
      </w:r>
      <w:r w:rsidR="00690929" w:rsidRPr="00BB555C">
        <w:t>“</w:t>
      </w:r>
      <w:r w:rsidR="004B7C87" w:rsidRPr="00BB555C">
        <w:t xml:space="preserve">in a steep ravine located in forest near </w:t>
      </w:r>
      <w:proofErr w:type="spellStart"/>
      <w:r w:rsidR="004B7C87" w:rsidRPr="00BB555C">
        <w:t>Kladernica</w:t>
      </w:r>
      <w:proofErr w:type="spellEnd"/>
      <w:r w:rsidR="004B7C87" w:rsidRPr="00BB555C">
        <w:t xml:space="preserve"> village and informed French KFOR. Police units responded to the crime scene, collected the dead body and transported to </w:t>
      </w:r>
      <w:proofErr w:type="spellStart"/>
      <w:r w:rsidR="004B7C87" w:rsidRPr="00BB555C">
        <w:t>Prishtina</w:t>
      </w:r>
      <w:proofErr w:type="spellEnd"/>
      <w:r w:rsidR="004B7C87" w:rsidRPr="00BB555C">
        <w:t xml:space="preserve"> Hospital for autopsy examination. The cause of</w:t>
      </w:r>
      <w:r w:rsidR="002B3ED8">
        <w:t xml:space="preserve"> death is unknown at the moment</w:t>
      </w:r>
      <w:r w:rsidR="004B7C87" w:rsidRPr="00BB555C">
        <w:t xml:space="preserve">”. </w:t>
      </w:r>
      <w:bookmarkEnd w:id="26"/>
      <w:r w:rsidR="004B7C87" w:rsidRPr="00BB555C">
        <w:t>The SRSG argues that the “lack of investigative files makes it impossible for UNMIK to provide substanti</w:t>
      </w:r>
      <w:r w:rsidR="00F3341B" w:rsidRPr="00BB555C">
        <w:t>v</w:t>
      </w:r>
      <w:r w:rsidR="004B7C87" w:rsidRPr="00BB555C">
        <w:t>e comments on the merits of the Complaint. However, this Office submits that the ECtHR, when considering applications under Article 2, ECHR gives due consideration to the difficulties inherent in post-conflict situations, and the concomitant problems that limit the ability of investigating authorities when conducting investigations of this nature</w:t>
      </w:r>
      <w:r w:rsidR="002B3ED8">
        <w:t>”</w:t>
      </w:r>
      <w:r w:rsidR="004B7C87" w:rsidRPr="00BB555C">
        <w:t xml:space="preserve">. The SRSG further argues that the ECtHR has determined that obligations under Article 2 of the ECHR must be interpreted “in a way which does not impose an impossible or disproportionate burden on the authorities.” </w:t>
      </w:r>
    </w:p>
    <w:p w:rsidR="00114E12" w:rsidRPr="00BB555C" w:rsidRDefault="00114E12" w:rsidP="00114E12">
      <w:pPr>
        <w:tabs>
          <w:tab w:val="left" w:pos="709"/>
        </w:tabs>
        <w:suppressAutoHyphens/>
        <w:autoSpaceDE w:val="0"/>
        <w:ind w:left="360"/>
        <w:jc w:val="both"/>
      </w:pPr>
    </w:p>
    <w:p w:rsidR="00114E12" w:rsidRPr="00BB555C" w:rsidRDefault="00114E12" w:rsidP="00114E12">
      <w:pPr>
        <w:numPr>
          <w:ilvl w:val="0"/>
          <w:numId w:val="2"/>
        </w:numPr>
        <w:tabs>
          <w:tab w:val="left" w:pos="709"/>
        </w:tabs>
        <w:suppressAutoHyphens/>
        <w:autoSpaceDE w:val="0"/>
        <w:jc w:val="both"/>
        <w:rPr>
          <w:lang w:eastAsia="nl-NL"/>
        </w:rPr>
      </w:pPr>
      <w:r w:rsidRPr="00BB555C">
        <w:t>The SRSG concludes that “[i]n view of the foregoing, it appears that UNMIK took available investigatory steps and, therefore, did not violate Article 2, ECHR in respect</w:t>
      </w:r>
      <w:r w:rsidR="00F3341B" w:rsidRPr="00BB555C">
        <w:t xml:space="preserve"> of the c</w:t>
      </w:r>
      <w:r w:rsidRPr="00BB555C">
        <w:t xml:space="preserve">omplaint of Mr. </w:t>
      </w:r>
      <w:proofErr w:type="spellStart"/>
      <w:r w:rsidRPr="00BB555C">
        <w:t>Predrag</w:t>
      </w:r>
      <w:proofErr w:type="spellEnd"/>
      <w:r w:rsidRPr="00BB555C">
        <w:t xml:space="preserve"> </w:t>
      </w:r>
      <w:proofErr w:type="spellStart"/>
      <w:r w:rsidRPr="00BB555C">
        <w:t>Jo</w:t>
      </w:r>
      <w:r w:rsidR="005133A1">
        <w:t>ksimović</w:t>
      </w:r>
      <w:proofErr w:type="spellEnd"/>
      <w:r w:rsidR="005133A1">
        <w:t>.”</w:t>
      </w:r>
    </w:p>
    <w:p w:rsidR="00114E12" w:rsidRPr="00BB555C" w:rsidRDefault="00114E12" w:rsidP="00114E12">
      <w:pPr>
        <w:tabs>
          <w:tab w:val="left" w:pos="709"/>
        </w:tabs>
        <w:suppressAutoHyphens/>
        <w:autoSpaceDE w:val="0"/>
        <w:ind w:left="360"/>
        <w:jc w:val="both"/>
      </w:pPr>
    </w:p>
    <w:p w:rsidR="00114E12" w:rsidRPr="00BB555C" w:rsidRDefault="00114E12" w:rsidP="00114E12">
      <w:pPr>
        <w:numPr>
          <w:ilvl w:val="0"/>
          <w:numId w:val="2"/>
        </w:numPr>
        <w:tabs>
          <w:tab w:val="left" w:pos="709"/>
        </w:tabs>
        <w:suppressAutoHyphens/>
        <w:autoSpaceDE w:val="0"/>
        <w:jc w:val="both"/>
        <w:rPr>
          <w:lang w:eastAsia="nl-NL"/>
        </w:rPr>
      </w:pPr>
      <w:r w:rsidRPr="00BB555C">
        <w:t>He adds that “[a]s there is the possibility that additional and conclusive information exists, beyond the documents mentioned above, UNMIK reserves its right to make further comments on the instant matter.”</w:t>
      </w:r>
    </w:p>
    <w:p w:rsidR="00114E12" w:rsidRPr="00BB555C" w:rsidRDefault="00114E12" w:rsidP="00114E12">
      <w:pPr>
        <w:tabs>
          <w:tab w:val="left" w:pos="709"/>
        </w:tabs>
        <w:suppressAutoHyphens/>
        <w:autoSpaceDE w:val="0"/>
        <w:ind w:left="360"/>
        <w:jc w:val="both"/>
      </w:pPr>
    </w:p>
    <w:p w:rsidR="001D22C7" w:rsidRPr="00BB555C" w:rsidRDefault="001D22C7" w:rsidP="00711F6E">
      <w:pPr>
        <w:tabs>
          <w:tab w:val="left" w:pos="709"/>
        </w:tabs>
        <w:suppressAutoHyphens/>
        <w:autoSpaceDE w:val="0"/>
        <w:jc w:val="both"/>
        <w:rPr>
          <w:lang w:eastAsia="nl-NL"/>
        </w:rPr>
      </w:pPr>
      <w:bookmarkStart w:id="39" w:name="_Ref367285537"/>
      <w:bookmarkStart w:id="40" w:name="_Ref368319301"/>
      <w:bookmarkEnd w:id="27"/>
      <w:bookmarkEnd w:id="28"/>
      <w:bookmarkEnd w:id="29"/>
      <w:bookmarkEnd w:id="30"/>
      <w:bookmarkEnd w:id="31"/>
      <w:bookmarkEnd w:id="32"/>
      <w:bookmarkEnd w:id="33"/>
      <w:bookmarkEnd w:id="34"/>
      <w:bookmarkEnd w:id="35"/>
      <w:bookmarkEnd w:id="36"/>
      <w:bookmarkEnd w:id="37"/>
      <w:bookmarkEnd w:id="38"/>
    </w:p>
    <w:bookmarkEnd w:id="39"/>
    <w:bookmarkEnd w:id="40"/>
    <w:p w:rsidR="003E3F85" w:rsidRPr="00BB555C" w:rsidRDefault="003E3F85" w:rsidP="003E3F85">
      <w:pPr>
        <w:pStyle w:val="ListParagraph"/>
        <w:numPr>
          <w:ilvl w:val="1"/>
          <w:numId w:val="1"/>
        </w:numPr>
        <w:tabs>
          <w:tab w:val="clear" w:pos="360"/>
          <w:tab w:val="left" w:pos="357"/>
        </w:tabs>
        <w:autoSpaceDE w:val="0"/>
        <w:contextualSpacing/>
        <w:jc w:val="both"/>
        <w:rPr>
          <w:b/>
          <w:lang w:val="en-GB"/>
        </w:rPr>
      </w:pPr>
      <w:r w:rsidRPr="00BB555C">
        <w:rPr>
          <w:b/>
          <w:lang w:val="en-GB"/>
        </w:rPr>
        <w:t xml:space="preserve">The </w:t>
      </w:r>
      <w:r w:rsidRPr="00BB555C">
        <w:rPr>
          <w:b/>
          <w:bCs/>
          <w:lang w:val="en-GB"/>
        </w:rPr>
        <w:t>Panel’s</w:t>
      </w:r>
      <w:r w:rsidRPr="00BB555C">
        <w:rPr>
          <w:b/>
          <w:lang w:val="en-GB"/>
        </w:rPr>
        <w:t xml:space="preserve"> assessment</w:t>
      </w:r>
    </w:p>
    <w:p w:rsidR="003E3F85" w:rsidRPr="00BB555C" w:rsidRDefault="003E3F85" w:rsidP="003E3F85">
      <w:pPr>
        <w:jc w:val="both"/>
        <w:rPr>
          <w:lang w:val="en-GB"/>
        </w:rPr>
      </w:pPr>
    </w:p>
    <w:p w:rsidR="00847739" w:rsidRPr="00BB555C" w:rsidRDefault="003E3F85" w:rsidP="00847739">
      <w:pPr>
        <w:numPr>
          <w:ilvl w:val="0"/>
          <w:numId w:val="2"/>
        </w:numPr>
        <w:tabs>
          <w:tab w:val="left" w:pos="709"/>
        </w:tabs>
        <w:suppressAutoHyphens/>
        <w:autoSpaceDE w:val="0"/>
        <w:jc w:val="both"/>
        <w:rPr>
          <w:lang w:val="en-GB"/>
        </w:rPr>
      </w:pPr>
      <w:r w:rsidRPr="00BB555C">
        <w:rPr>
          <w:lang w:val="en-GB"/>
        </w:rPr>
        <w:t>The</w:t>
      </w:r>
      <w:r w:rsidRPr="00BB555C">
        <w:rPr>
          <w:bCs/>
          <w:lang w:val="en-GB"/>
        </w:rPr>
        <w:t xml:space="preserve"> Panel considers that the complainant invokes a violation of the procedural obligation </w:t>
      </w:r>
      <w:r w:rsidRPr="00BB555C">
        <w:rPr>
          <w:lang w:val="en-GB"/>
        </w:rPr>
        <w:t>stemming</w:t>
      </w:r>
      <w:r w:rsidRPr="00BB555C">
        <w:rPr>
          <w:bCs/>
          <w:lang w:val="en-GB"/>
        </w:rPr>
        <w:t xml:space="preserve"> from the right to life, guaranteed by Article 2 of the European Convention on Human Rights (ECHR) in that UNMIK did not conduct an effectiv</w:t>
      </w:r>
      <w:r w:rsidR="00622236" w:rsidRPr="00BB555C">
        <w:rPr>
          <w:bCs/>
          <w:lang w:val="en-GB"/>
        </w:rPr>
        <w:t>e investigation into the</w:t>
      </w:r>
      <w:r w:rsidR="00657648" w:rsidRPr="00BB555C">
        <w:rPr>
          <w:bCs/>
          <w:lang w:val="en-GB"/>
        </w:rPr>
        <w:t xml:space="preserve"> </w:t>
      </w:r>
      <w:r w:rsidR="00BA549E" w:rsidRPr="00BB555C">
        <w:rPr>
          <w:bCs/>
          <w:lang w:val="en-GB"/>
        </w:rPr>
        <w:t>abduction and killing</w:t>
      </w:r>
      <w:r w:rsidRPr="00BB555C">
        <w:rPr>
          <w:bCs/>
          <w:lang w:val="en-GB"/>
        </w:rPr>
        <w:t xml:space="preserve"> of </w:t>
      </w:r>
      <w:proofErr w:type="spellStart"/>
      <w:r w:rsidR="003443B0" w:rsidRPr="00BB555C">
        <w:t>Mr</w:t>
      </w:r>
      <w:proofErr w:type="spellEnd"/>
      <w:r w:rsidR="003443B0" w:rsidRPr="00BB555C">
        <w:t xml:space="preserve"> </w:t>
      </w:r>
      <w:proofErr w:type="spellStart"/>
      <w:r w:rsidR="003443B0" w:rsidRPr="00BB555C">
        <w:t>Momčilo</w:t>
      </w:r>
      <w:proofErr w:type="spellEnd"/>
      <w:r w:rsidR="003443B0" w:rsidRPr="00BB555C">
        <w:t xml:space="preserve"> </w:t>
      </w:r>
      <w:proofErr w:type="spellStart"/>
      <w:r w:rsidR="003443B0" w:rsidRPr="00BB555C">
        <w:t>Joksimović</w:t>
      </w:r>
      <w:proofErr w:type="spellEnd"/>
      <w:r w:rsidRPr="00BB555C">
        <w:rPr>
          <w:lang w:val="en-GB"/>
        </w:rPr>
        <w:t>.</w:t>
      </w:r>
    </w:p>
    <w:p w:rsidR="00847739" w:rsidRPr="00BB555C" w:rsidRDefault="00847739" w:rsidP="00847739">
      <w:pPr>
        <w:tabs>
          <w:tab w:val="left" w:pos="709"/>
        </w:tabs>
        <w:suppressAutoHyphens/>
        <w:autoSpaceDE w:val="0"/>
        <w:ind w:left="360"/>
        <w:jc w:val="both"/>
        <w:rPr>
          <w:lang w:val="en-GB"/>
        </w:rPr>
      </w:pPr>
    </w:p>
    <w:p w:rsidR="00847739" w:rsidRPr="00BB555C" w:rsidRDefault="00847739" w:rsidP="00847739">
      <w:pPr>
        <w:pStyle w:val="ListParagraph"/>
        <w:numPr>
          <w:ilvl w:val="0"/>
          <w:numId w:val="29"/>
        </w:numPr>
        <w:tabs>
          <w:tab w:val="left" w:pos="360"/>
        </w:tabs>
        <w:suppressAutoHyphens w:val="0"/>
        <w:ind w:left="360"/>
        <w:contextualSpacing/>
        <w:jc w:val="both"/>
        <w:rPr>
          <w:i/>
          <w:color w:val="000000"/>
          <w:lang w:eastAsia="en-US"/>
        </w:rPr>
      </w:pPr>
      <w:r w:rsidRPr="00BB555C">
        <w:rPr>
          <w:i/>
          <w:color w:val="000000"/>
          <w:lang w:eastAsia="en-US"/>
        </w:rPr>
        <w:t>Submission of relevant files</w:t>
      </w:r>
    </w:p>
    <w:p w:rsidR="00847739" w:rsidRPr="00BB555C" w:rsidRDefault="00847739" w:rsidP="00847739">
      <w:pPr>
        <w:tabs>
          <w:tab w:val="left" w:pos="709"/>
        </w:tabs>
        <w:suppressAutoHyphens/>
        <w:autoSpaceDE w:val="0"/>
        <w:ind w:left="360"/>
        <w:jc w:val="both"/>
        <w:rPr>
          <w:lang w:val="en-GB"/>
        </w:rPr>
      </w:pPr>
    </w:p>
    <w:p w:rsidR="00847739" w:rsidRPr="00BB555C" w:rsidRDefault="006D1CD0" w:rsidP="00847739">
      <w:pPr>
        <w:numPr>
          <w:ilvl w:val="0"/>
          <w:numId w:val="2"/>
        </w:numPr>
        <w:tabs>
          <w:tab w:val="left" w:pos="709"/>
        </w:tabs>
        <w:suppressAutoHyphens/>
        <w:autoSpaceDE w:val="0"/>
        <w:jc w:val="both"/>
        <w:rPr>
          <w:lang w:val="en-GB"/>
        </w:rPr>
      </w:pPr>
      <w:r w:rsidRPr="00BB555C">
        <w:t>As noted</w:t>
      </w:r>
      <w:r w:rsidR="00847739" w:rsidRPr="00BB555C">
        <w:t xml:space="preserve"> (see § </w:t>
      </w:r>
      <w:r w:rsidR="00847739" w:rsidRPr="00BB555C">
        <w:fldChar w:fldCharType="begin"/>
      </w:r>
      <w:r w:rsidR="00847739" w:rsidRPr="00BB555C">
        <w:instrText xml:space="preserve"> REF _Ref365886120 \r \h </w:instrText>
      </w:r>
      <w:r w:rsidR="00BB555C">
        <w:instrText xml:space="preserve"> \* MERGEFORMAT </w:instrText>
      </w:r>
      <w:r w:rsidR="00847739" w:rsidRPr="00BB555C">
        <w:fldChar w:fldCharType="separate"/>
      </w:r>
      <w:r w:rsidR="00AC127D">
        <w:t>25</w:t>
      </w:r>
      <w:r w:rsidR="00847739" w:rsidRPr="00BB555C">
        <w:fldChar w:fldCharType="end"/>
      </w:r>
      <w:r w:rsidR="00847739" w:rsidRPr="00BB555C">
        <w:t xml:space="preserve"> </w:t>
      </w:r>
      <w:r w:rsidRPr="00BB555C">
        <w:t>above</w:t>
      </w:r>
      <w:r w:rsidR="00847739" w:rsidRPr="00BB555C">
        <w:t xml:space="preserve">), UNMIK was not able to provide to the Panel any files related to the investigation into the </w:t>
      </w:r>
      <w:r w:rsidR="00847739" w:rsidRPr="00BB555C">
        <w:rPr>
          <w:bCs/>
          <w:lang w:val="en-GB"/>
        </w:rPr>
        <w:t xml:space="preserve">abduction and killing of </w:t>
      </w:r>
      <w:proofErr w:type="spellStart"/>
      <w:r w:rsidR="00847739" w:rsidRPr="00BB555C">
        <w:t>Mr</w:t>
      </w:r>
      <w:proofErr w:type="spellEnd"/>
      <w:r w:rsidR="00847739" w:rsidRPr="00BB555C">
        <w:t xml:space="preserve"> </w:t>
      </w:r>
      <w:proofErr w:type="spellStart"/>
      <w:r w:rsidR="00847739" w:rsidRPr="00BB555C">
        <w:t>Momčilo</w:t>
      </w:r>
      <w:proofErr w:type="spellEnd"/>
      <w:r w:rsidR="00847739" w:rsidRPr="00BB555C">
        <w:t xml:space="preserve"> </w:t>
      </w:r>
      <w:proofErr w:type="spellStart"/>
      <w:r w:rsidR="00847739" w:rsidRPr="00BB555C">
        <w:t>Joksimović</w:t>
      </w:r>
      <w:proofErr w:type="spellEnd"/>
      <w:r w:rsidR="00847739" w:rsidRPr="00BB555C">
        <w:t xml:space="preserve"> other than a two-page printout </w:t>
      </w:r>
      <w:r w:rsidR="00847739" w:rsidRPr="00BB555C">
        <w:rPr>
          <w:lang w:val="en-GB"/>
        </w:rPr>
        <w:t>of an initial incident report.</w:t>
      </w:r>
    </w:p>
    <w:p w:rsidR="00847739" w:rsidRPr="00BB555C" w:rsidRDefault="00847739" w:rsidP="00847739">
      <w:pPr>
        <w:tabs>
          <w:tab w:val="left" w:pos="360"/>
        </w:tabs>
        <w:suppressAutoHyphens/>
        <w:autoSpaceDE w:val="0"/>
        <w:ind w:left="360" w:hanging="360"/>
        <w:jc w:val="both"/>
      </w:pPr>
    </w:p>
    <w:p w:rsidR="00847739" w:rsidRPr="006D1CD0" w:rsidRDefault="00847739" w:rsidP="00847739">
      <w:pPr>
        <w:numPr>
          <w:ilvl w:val="0"/>
          <w:numId w:val="2"/>
        </w:numPr>
        <w:tabs>
          <w:tab w:val="left" w:pos="360"/>
        </w:tabs>
        <w:suppressAutoHyphens/>
        <w:autoSpaceDE w:val="0"/>
        <w:jc w:val="both"/>
      </w:pPr>
      <w:r w:rsidRPr="00BB555C">
        <w:t>The Panel notes that Section 15 of UNMIK Regulation No. 2006/12 states that the</w:t>
      </w:r>
      <w:r w:rsidRPr="006D1CD0">
        <w:t xml:space="preserv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6D1CD0">
        <w:t>ECtHR</w:t>
      </w:r>
      <w:proofErr w:type="spellEnd"/>
      <w:r w:rsidRPr="006D1CD0">
        <w:t xml:space="preserve">, </w:t>
      </w:r>
      <w:proofErr w:type="spellStart"/>
      <w:r w:rsidRPr="006D1CD0">
        <w:rPr>
          <w:rStyle w:val="s7d2086b4"/>
          <w:i/>
        </w:rPr>
        <w:t>Çelikbilek</w:t>
      </w:r>
      <w:proofErr w:type="spellEnd"/>
      <w:r w:rsidRPr="006D1CD0">
        <w:rPr>
          <w:rStyle w:val="s7d2086b4"/>
          <w:i/>
        </w:rPr>
        <w:t xml:space="preserve"> </w:t>
      </w:r>
      <w:r w:rsidRPr="006D1CD0">
        <w:rPr>
          <w:i/>
        </w:rPr>
        <w:t>v. Turkey</w:t>
      </w:r>
      <w:r w:rsidRPr="006D1CD0">
        <w:t xml:space="preserve">, </w:t>
      </w:r>
      <w:r w:rsidRPr="006D1CD0">
        <w:rPr>
          <w:color w:val="000000"/>
          <w:lang w:eastAsia="nl-BE"/>
        </w:rPr>
        <w:t>no. 27693/95, judgment of 31 May 2005</w:t>
      </w:r>
      <w:r w:rsidRPr="006D1CD0">
        <w:rPr>
          <w:i/>
          <w:iCs/>
          <w:color w:val="000000"/>
          <w:lang w:eastAsia="nl-BE"/>
        </w:rPr>
        <w:t>,</w:t>
      </w:r>
      <w:r w:rsidRPr="006D1CD0">
        <w:rPr>
          <w:iCs/>
          <w:color w:val="000000"/>
          <w:lang w:eastAsia="nl-BE"/>
        </w:rPr>
        <w:t xml:space="preserve"> § 56). However, </w:t>
      </w:r>
      <w:r w:rsidRPr="006D1CD0">
        <w:t xml:space="preserve">despite a number of requests from the Panel, UNMIK did not provide to the Panel any investigation documents appertaining to an investigation into the </w:t>
      </w:r>
      <w:r w:rsidR="0057329D">
        <w:t>abduction</w:t>
      </w:r>
      <w:r w:rsidRPr="006D1CD0">
        <w:t xml:space="preserve"> and </w:t>
      </w:r>
      <w:r w:rsidR="0057329D">
        <w:t xml:space="preserve">killing </w:t>
      </w:r>
      <w:r w:rsidRPr="006D1CD0">
        <w:t xml:space="preserve">of </w:t>
      </w:r>
      <w:proofErr w:type="spellStart"/>
      <w:r w:rsidR="00C42975" w:rsidRPr="006D1CD0">
        <w:t>Mr</w:t>
      </w:r>
      <w:proofErr w:type="spellEnd"/>
      <w:r w:rsidR="00C42975" w:rsidRPr="006D1CD0">
        <w:t xml:space="preserve"> </w:t>
      </w:r>
      <w:proofErr w:type="spellStart"/>
      <w:r w:rsidR="00C42975" w:rsidRPr="006D1CD0">
        <w:t>Momčilo</w:t>
      </w:r>
      <w:proofErr w:type="spellEnd"/>
      <w:r w:rsidR="00C42975" w:rsidRPr="006D1CD0">
        <w:t xml:space="preserve"> </w:t>
      </w:r>
      <w:proofErr w:type="spellStart"/>
      <w:r w:rsidR="00C42975" w:rsidRPr="006D1CD0">
        <w:t>Joksimović</w:t>
      </w:r>
      <w:proofErr w:type="spellEnd"/>
      <w:r w:rsidR="00C42975" w:rsidRPr="006D1CD0">
        <w:t>.</w:t>
      </w:r>
    </w:p>
    <w:p w:rsidR="00847739" w:rsidRPr="006D1CD0" w:rsidRDefault="00847739" w:rsidP="00847739">
      <w:pPr>
        <w:tabs>
          <w:tab w:val="left" w:pos="360"/>
        </w:tabs>
        <w:ind w:left="360" w:hanging="360"/>
        <w:jc w:val="both"/>
      </w:pPr>
    </w:p>
    <w:p w:rsidR="00847739" w:rsidRPr="006D1CD0" w:rsidRDefault="00847739" w:rsidP="00847739">
      <w:pPr>
        <w:numPr>
          <w:ilvl w:val="0"/>
          <w:numId w:val="2"/>
        </w:numPr>
        <w:tabs>
          <w:tab w:val="left" w:pos="360"/>
          <w:tab w:val="num" w:pos="630"/>
        </w:tabs>
        <w:suppressAutoHyphens/>
        <w:jc w:val="both"/>
      </w:pPr>
      <w:r w:rsidRPr="006D1CD0">
        <w:t xml:space="preserve">The Panel also notes that the proper maintenance of investigative files concerning crimes such as killings and disappearances, from the opening of investigations to their handing over, is crucial to the continuation of such investigations and failure to do so could thus raise </w:t>
      </w:r>
      <w:r w:rsidRPr="006D1CD0">
        <w:rPr>
          <w:i/>
        </w:rPr>
        <w:t>per se</w:t>
      </w:r>
      <w:r w:rsidRPr="006D1CD0">
        <w:t xml:space="preserve"> issues under Article 2. The Panel likewise notes that UNMIK has not provided any explanation for the lack of any documentation. </w:t>
      </w:r>
    </w:p>
    <w:p w:rsidR="00847739" w:rsidRPr="006D1CD0" w:rsidRDefault="00847739" w:rsidP="00847739">
      <w:pPr>
        <w:tabs>
          <w:tab w:val="left" w:pos="360"/>
        </w:tabs>
        <w:ind w:left="360" w:hanging="360"/>
        <w:jc w:val="both"/>
      </w:pPr>
    </w:p>
    <w:p w:rsidR="00847739" w:rsidRPr="006D1CD0" w:rsidRDefault="00847739" w:rsidP="00847739">
      <w:pPr>
        <w:numPr>
          <w:ilvl w:val="0"/>
          <w:numId w:val="2"/>
        </w:numPr>
        <w:tabs>
          <w:tab w:val="left" w:pos="360"/>
          <w:tab w:val="num" w:pos="630"/>
        </w:tabs>
        <w:jc w:val="both"/>
      </w:pPr>
      <w:r w:rsidRPr="006D1CD0">
        <w:t xml:space="preserve">The Panel has no reason to doubt that UNMIK undertook all efforts in order to obtain the relevant investigation files. However, despite ample time given to UNMIK for that purpose (more than three years), neither files, nor a plausible explanation of the reasons for their complete absence, were presented to the Panel. Therefore, the Panel has no other course of action but to proceed with an examination of the merits of this complaint only on the basis of documents made available by the complainant and the scarce information provided UNMIK, and to draw inferences from this situation (in this sense, see </w:t>
      </w:r>
      <w:proofErr w:type="spellStart"/>
      <w:r w:rsidRPr="006D1CD0">
        <w:t>ECtHR</w:t>
      </w:r>
      <w:proofErr w:type="spellEnd"/>
      <w:r w:rsidRPr="006D1CD0">
        <w:t xml:space="preserve">, </w:t>
      </w:r>
      <w:proofErr w:type="spellStart"/>
      <w:r w:rsidRPr="006D1CD0">
        <w:rPr>
          <w:i/>
        </w:rPr>
        <w:t>Tsechoyev</w:t>
      </w:r>
      <w:proofErr w:type="spellEnd"/>
      <w:r w:rsidRPr="006D1CD0">
        <w:rPr>
          <w:i/>
        </w:rPr>
        <w:t xml:space="preserve"> v. Russia</w:t>
      </w:r>
      <w:r w:rsidRPr="006D1CD0">
        <w:t>, no. 39358/05, judgment of</w:t>
      </w:r>
      <w:r w:rsidRPr="006D1CD0">
        <w:rPr>
          <w:i/>
        </w:rPr>
        <w:t xml:space="preserve"> </w:t>
      </w:r>
      <w:r w:rsidRPr="006D1CD0">
        <w:t xml:space="preserve">15 March 2011, § 146). </w:t>
      </w:r>
    </w:p>
    <w:p w:rsidR="0099174E" w:rsidRDefault="0099174E" w:rsidP="0099174E">
      <w:pPr>
        <w:pStyle w:val="ListParagraph"/>
        <w:rPr>
          <w:highlight w:val="yellow"/>
        </w:rPr>
      </w:pPr>
    </w:p>
    <w:p w:rsidR="003E3F85" w:rsidRPr="00847739" w:rsidRDefault="003E3F85" w:rsidP="00847739">
      <w:pPr>
        <w:pStyle w:val="ListParagraph"/>
        <w:numPr>
          <w:ilvl w:val="0"/>
          <w:numId w:val="29"/>
        </w:numPr>
        <w:ind w:left="450"/>
        <w:contextualSpacing/>
        <w:jc w:val="both"/>
        <w:rPr>
          <w:i/>
          <w:lang w:val="en-GB"/>
        </w:rPr>
      </w:pPr>
      <w:bookmarkStart w:id="41" w:name="_Ref366241114"/>
      <w:r w:rsidRPr="00847739">
        <w:rPr>
          <w:i/>
          <w:lang w:val="en-GB" w:eastAsia="en-US"/>
        </w:rPr>
        <w:t>General</w:t>
      </w:r>
      <w:r w:rsidRPr="00847739">
        <w:rPr>
          <w:i/>
          <w:lang w:val="en-GB"/>
        </w:rPr>
        <w:t xml:space="preserve"> principles concerning the obligation to conduct an effective investigation under Article 2</w:t>
      </w:r>
    </w:p>
    <w:p w:rsidR="00C4755E" w:rsidRPr="005D40AD" w:rsidRDefault="00C4755E" w:rsidP="009A6E2B">
      <w:pPr>
        <w:suppressAutoHyphens/>
        <w:autoSpaceDE w:val="0"/>
        <w:jc w:val="both"/>
      </w:pPr>
      <w:bookmarkStart w:id="42" w:name="_Ref409081615"/>
    </w:p>
    <w:p w:rsidR="00847739" w:rsidRDefault="00847739" w:rsidP="00847739">
      <w:pPr>
        <w:numPr>
          <w:ilvl w:val="0"/>
          <w:numId w:val="2"/>
        </w:numPr>
        <w:tabs>
          <w:tab w:val="left" w:pos="360"/>
        </w:tabs>
        <w:suppressAutoHyphens/>
        <w:autoSpaceDE w:val="0"/>
        <w:jc w:val="both"/>
        <w:rPr>
          <w:lang w:val="en-GB"/>
        </w:rPr>
      </w:pPr>
      <w:bookmarkStart w:id="43" w:name="_Ref347993393"/>
      <w:bookmarkStart w:id="44" w:name="_Ref412809772"/>
      <w:r>
        <w:rPr>
          <w:lang w:val="en-GB"/>
        </w:rPr>
        <w:t xml:space="preserve">First, the Panel considers that the lack of any investigative files raises issues of the burden of proof. In this regard, the Panel refers to the approach of the </w:t>
      </w:r>
      <w:r>
        <w:rPr>
          <w:color w:val="000000"/>
        </w:rPr>
        <w:t>European Court on Human Rights as well as of the United Nations Human Rights Committee (HRC) on the matter</w:t>
      </w:r>
      <w:r>
        <w:rPr>
          <w:lang w:val="en-GB"/>
        </w:rPr>
        <w:t>. The general rule is that it is for the party who asserts a proposition of fact to prove it, but that this is not a rigid rule.</w:t>
      </w:r>
      <w:bookmarkEnd w:id="43"/>
    </w:p>
    <w:p w:rsidR="00847739" w:rsidRDefault="00847739" w:rsidP="00847739">
      <w:pPr>
        <w:tabs>
          <w:tab w:val="left" w:pos="360"/>
        </w:tabs>
        <w:suppressAutoHyphens/>
        <w:autoSpaceDE w:val="0"/>
        <w:ind w:left="360" w:hanging="360"/>
        <w:jc w:val="both"/>
        <w:rPr>
          <w:lang w:val="en-GB"/>
        </w:rPr>
      </w:pPr>
    </w:p>
    <w:p w:rsidR="00847739" w:rsidRDefault="00847739" w:rsidP="00847739">
      <w:pPr>
        <w:numPr>
          <w:ilvl w:val="0"/>
          <w:numId w:val="2"/>
        </w:numPr>
        <w:tabs>
          <w:tab w:val="left" w:pos="360"/>
        </w:tabs>
        <w:suppressAutoHyphens/>
        <w:autoSpaceDE w:val="0"/>
        <w:jc w:val="both"/>
        <w:rPr>
          <w:b/>
          <w:lang w:val="en-GB"/>
        </w:rPr>
      </w:pPr>
      <w:bookmarkStart w:id="45" w:name="_Ref342296805"/>
      <w:r>
        <w:rPr>
          <w:lang w:val="en-GB"/>
        </w:rPr>
        <w:t xml:space="preserve">Following this general rule, at the admissibility stage an applicant must present facts, which are supportive of the allegations of the State’s responsibility, that is, to establish a </w:t>
      </w:r>
      <w:r>
        <w:rPr>
          <w:i/>
          <w:lang w:val="en-GB"/>
        </w:rPr>
        <w:t>prima facie</w:t>
      </w:r>
      <w:r>
        <w:rPr>
          <w:lang w:val="en-GB"/>
        </w:rPr>
        <w:t xml:space="preserve"> case against the authorities (see, </w:t>
      </w:r>
      <w:r>
        <w:rPr>
          <w:i/>
          <w:lang w:val="en-GB"/>
        </w:rPr>
        <w:t>mutatis mutandis</w:t>
      </w:r>
      <w:r>
        <w:rPr>
          <w:lang w:val="en-GB"/>
        </w:rPr>
        <w:t xml:space="preserve">, </w:t>
      </w:r>
      <w:proofErr w:type="spellStart"/>
      <w:r>
        <w:rPr>
          <w:lang w:val="en-GB"/>
        </w:rPr>
        <w:t>ECtHR</w:t>
      </w:r>
      <w:proofErr w:type="spellEnd"/>
      <w:r>
        <w:rPr>
          <w:lang w:val="en-GB"/>
        </w:rPr>
        <w:t xml:space="preserve">, </w:t>
      </w:r>
      <w:proofErr w:type="spellStart"/>
      <w:r>
        <w:rPr>
          <w:i/>
          <w:iCs/>
        </w:rPr>
        <w:t>Artico</w:t>
      </w:r>
      <w:proofErr w:type="spellEnd"/>
      <w:r>
        <w:rPr>
          <w:i/>
          <w:iCs/>
        </w:rPr>
        <w:t xml:space="preserve"> v. Italy</w:t>
      </w:r>
      <w:r>
        <w:t xml:space="preserve">, no. 6694/74, judgment of 13 May 1980, §§ 29-30, Series A no. 37; </w:t>
      </w:r>
      <w:proofErr w:type="spellStart"/>
      <w:r>
        <w:t>ECtHR</w:t>
      </w:r>
      <w:proofErr w:type="spellEnd"/>
      <w:r>
        <w:t xml:space="preserve">, </w:t>
      </w:r>
      <w:proofErr w:type="spellStart"/>
      <w:r>
        <w:rPr>
          <w:i/>
        </w:rPr>
        <w:t>Toğcu</w:t>
      </w:r>
      <w:proofErr w:type="spellEnd"/>
      <w:r>
        <w:rPr>
          <w:i/>
        </w:rPr>
        <w:t xml:space="preserve"> v. Turkey</w:t>
      </w:r>
      <w:r>
        <w:t xml:space="preserve">, no. 27601/95, judgment of 31 May 2005, § 95). However, the European Court further holds that </w:t>
      </w:r>
      <w:r>
        <w:rPr>
          <w:lang w:val="en-GB"/>
        </w:rPr>
        <w:t xml:space="preserve">“... </w:t>
      </w:r>
      <w:r>
        <w:t>where the events in issue lie wholly, or in large part, within the exclusive knowledge of the authorities … The burden of proof may then be regarded as resting on the authorities to provide a satisfactory and convincing explanation” (</w:t>
      </w:r>
      <w:r>
        <w:rPr>
          <w:lang w:val="en-GB"/>
        </w:rPr>
        <w:t xml:space="preserve">see </w:t>
      </w:r>
      <w:proofErr w:type="spellStart"/>
      <w:r>
        <w:rPr>
          <w:lang w:val="en-GB"/>
        </w:rPr>
        <w:t>ECtHR</w:t>
      </w:r>
      <w:proofErr w:type="spellEnd"/>
      <w:r>
        <w:rPr>
          <w:lang w:val="en-GB"/>
        </w:rPr>
        <w:t xml:space="preserve"> [GC], </w:t>
      </w:r>
      <w:proofErr w:type="spellStart"/>
      <w:r>
        <w:rPr>
          <w:i/>
          <w:iCs/>
        </w:rPr>
        <w:t>Varnava</w:t>
      </w:r>
      <w:proofErr w:type="spellEnd"/>
      <w:r>
        <w:rPr>
          <w:i/>
          <w:iCs/>
        </w:rPr>
        <w:t xml:space="preserve"> and Others v Turkey</w:t>
      </w:r>
      <w:r>
        <w:rPr>
          <w:iCs/>
        </w:rPr>
        <w:t>,</w:t>
      </w:r>
      <w:r>
        <w:rPr>
          <w:i/>
          <w:iCs/>
        </w:rPr>
        <w:t xml:space="preserve"> </w:t>
      </w:r>
      <w:r>
        <w:t xml:space="preserve">cited above in § </w:t>
      </w:r>
      <w:r>
        <w:fldChar w:fldCharType="begin"/>
      </w:r>
      <w:r>
        <w:instrText xml:space="preserve"> REF _Ref346123885 \r \h  \* MERGEFORMAT </w:instrText>
      </w:r>
      <w:r>
        <w:fldChar w:fldCharType="separate"/>
      </w:r>
      <w:r w:rsidR="00AC127D">
        <w:t>32</w:t>
      </w:r>
      <w:r>
        <w:fldChar w:fldCharType="end"/>
      </w:r>
      <w:r>
        <w:t>, at §§ 183-184).</w:t>
      </w:r>
      <w:bookmarkEnd w:id="45"/>
    </w:p>
    <w:p w:rsidR="00847739" w:rsidRDefault="00847739" w:rsidP="00847739">
      <w:pPr>
        <w:tabs>
          <w:tab w:val="left" w:pos="360"/>
        </w:tabs>
        <w:suppressAutoHyphens/>
        <w:autoSpaceDE w:val="0"/>
        <w:ind w:left="360" w:hanging="360"/>
        <w:jc w:val="both"/>
        <w:rPr>
          <w:b/>
          <w:lang w:val="en-GB"/>
        </w:rPr>
      </w:pPr>
    </w:p>
    <w:p w:rsidR="00847739" w:rsidRDefault="00847739" w:rsidP="00847739">
      <w:pPr>
        <w:numPr>
          <w:ilvl w:val="0"/>
          <w:numId w:val="2"/>
        </w:numPr>
        <w:tabs>
          <w:tab w:val="left" w:pos="360"/>
        </w:tabs>
        <w:suppressAutoHyphens/>
        <w:autoSpaceDE w:val="0"/>
        <w:jc w:val="both"/>
        <w:rPr>
          <w:lang w:val="en-GB"/>
        </w:rPr>
      </w:pPr>
      <w:r>
        <w:rPr>
          <w:lang w:val="en-GB"/>
        </w:rPr>
        <w:t xml:space="preserve">The European Court also states that “... </w:t>
      </w:r>
      <w:r>
        <w:t xml:space="preserve">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t>ECtHR</w:t>
      </w:r>
      <w:proofErr w:type="spellEnd"/>
      <w:r>
        <w:t xml:space="preserve">, </w:t>
      </w:r>
      <w:proofErr w:type="spellStart"/>
      <w:r>
        <w:rPr>
          <w:i/>
          <w:iCs/>
        </w:rPr>
        <w:t>Akkum</w:t>
      </w:r>
      <w:proofErr w:type="spellEnd"/>
      <w:r>
        <w:rPr>
          <w:i/>
          <w:iCs/>
        </w:rPr>
        <w:t xml:space="preserve"> and Others v. Turkey</w:t>
      </w:r>
      <w:r>
        <w:t>, no. 21894/93, judgment of 24 June 2005, § 211, ECHR 2005-II (extracts)). The Court adds that “… [</w:t>
      </w:r>
      <w:proofErr w:type="spellStart"/>
      <w:r>
        <w:t>i</w:t>
      </w:r>
      <w:proofErr w:type="spellEnd"/>
      <w:r>
        <w:t>]f they [the authorities] then fail to disclose crucial documents to enable the Court to establish the facts or otherwise provide a satisfactory and convincing explanation, strong inferences may be drawn” (</w:t>
      </w:r>
      <w:r>
        <w:rPr>
          <w:lang w:val="en-GB"/>
        </w:rPr>
        <w:t xml:space="preserve">see </w:t>
      </w:r>
      <w:proofErr w:type="spellStart"/>
      <w:r>
        <w:rPr>
          <w:lang w:val="en-GB"/>
        </w:rPr>
        <w:t>ECtHR</w:t>
      </w:r>
      <w:proofErr w:type="spellEnd"/>
      <w:r>
        <w:rPr>
          <w:lang w:val="en-GB"/>
        </w:rPr>
        <w:t xml:space="preserve">, </w:t>
      </w:r>
      <w:proofErr w:type="spellStart"/>
      <w:r>
        <w:rPr>
          <w:i/>
          <w:iCs/>
        </w:rPr>
        <w:t>Varnava</w:t>
      </w:r>
      <w:proofErr w:type="spellEnd"/>
      <w:r>
        <w:rPr>
          <w:i/>
          <w:iCs/>
        </w:rPr>
        <w:t xml:space="preserve"> and Others v Turkey</w:t>
      </w:r>
      <w:r>
        <w:rPr>
          <w:iCs/>
        </w:rPr>
        <w:t>,</w:t>
      </w:r>
      <w:r>
        <w:rPr>
          <w:i/>
          <w:iCs/>
        </w:rPr>
        <w:t xml:space="preserve"> </w:t>
      </w:r>
      <w:r>
        <w:t>cited above, at § 184;</w:t>
      </w:r>
      <w:r>
        <w:rPr>
          <w:lang w:val="en-GB"/>
        </w:rPr>
        <w:t xml:space="preserve"> see also</w:t>
      </w:r>
      <w:r>
        <w:t>, HRC,</w:t>
      </w:r>
      <w:r>
        <w:rPr>
          <w:i/>
        </w:rPr>
        <w:t xml:space="preserve"> </w:t>
      </w:r>
      <w:proofErr w:type="spellStart"/>
      <w:r>
        <w:rPr>
          <w:i/>
        </w:rPr>
        <w:t>Benaniza</w:t>
      </w:r>
      <w:proofErr w:type="spellEnd"/>
      <w:r>
        <w:rPr>
          <w:i/>
        </w:rPr>
        <w:t xml:space="preserve"> v </w:t>
      </w:r>
      <w:r>
        <w:rPr>
          <w:i/>
          <w:lang w:val="en-GB"/>
        </w:rPr>
        <w:t>Algeria,</w:t>
      </w:r>
      <w:r>
        <w:rPr>
          <w:lang w:val="en-GB"/>
        </w:rPr>
        <w:t xml:space="preserve"> views</w:t>
      </w:r>
      <w:r>
        <w:t xml:space="preserve"> of 26 July 2010, § 9.4, CCPR/C/99/D/1588/2007; HRC,</w:t>
      </w:r>
      <w:r>
        <w:rPr>
          <w:i/>
        </w:rPr>
        <w:t xml:space="preserve"> </w:t>
      </w:r>
      <w:proofErr w:type="spellStart"/>
      <w:r>
        <w:rPr>
          <w:i/>
        </w:rPr>
        <w:t>Bashasha</w:t>
      </w:r>
      <w:proofErr w:type="spellEnd"/>
      <w:r>
        <w:rPr>
          <w:i/>
          <w:color w:val="000000"/>
        </w:rPr>
        <w:t xml:space="preserve"> v. Libyan Arab Jamahiriya</w:t>
      </w:r>
      <w:r>
        <w:rPr>
          <w:color w:val="000000"/>
        </w:rPr>
        <w:t>, views of 20 October 2010, § 7.2, CCPR/C/100/D/1776/2008).</w:t>
      </w:r>
    </w:p>
    <w:p w:rsidR="00847739" w:rsidRDefault="00847739" w:rsidP="00847739">
      <w:pPr>
        <w:tabs>
          <w:tab w:val="left" w:pos="360"/>
        </w:tabs>
        <w:suppressAutoHyphens/>
        <w:autoSpaceDE w:val="0"/>
        <w:ind w:left="360" w:hanging="360"/>
        <w:jc w:val="both"/>
        <w:rPr>
          <w:lang w:val="en-GB"/>
        </w:rPr>
      </w:pPr>
    </w:p>
    <w:p w:rsidR="00847739" w:rsidRDefault="00847739" w:rsidP="00847739">
      <w:pPr>
        <w:numPr>
          <w:ilvl w:val="0"/>
          <w:numId w:val="2"/>
        </w:numPr>
        <w:tabs>
          <w:tab w:val="left" w:pos="360"/>
        </w:tabs>
        <w:suppressAutoHyphens/>
        <w:autoSpaceDE w:val="0"/>
        <w:jc w:val="both"/>
        <w:rPr>
          <w:lang w:val="en-GB"/>
        </w:rPr>
      </w:pPr>
      <w:r>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Pr>
          <w:color w:val="000000"/>
          <w:lang w:val="en-GB"/>
        </w:rPr>
        <w:t>strong</w:t>
      </w:r>
      <w:r>
        <w:rPr>
          <w:lang w:val="en-GB"/>
        </w:rPr>
        <w:t xml:space="preserve"> inferences” may be drawn from lack of documentation is applicable.</w:t>
      </w:r>
    </w:p>
    <w:p w:rsidR="00847739" w:rsidRDefault="00847739" w:rsidP="00847739">
      <w:pPr>
        <w:tabs>
          <w:tab w:val="left" w:pos="709"/>
        </w:tabs>
        <w:suppressAutoHyphens/>
        <w:autoSpaceDE w:val="0"/>
        <w:ind w:left="360"/>
        <w:jc w:val="both"/>
        <w:rPr>
          <w:lang w:val="en-GB"/>
        </w:rPr>
      </w:pPr>
    </w:p>
    <w:p w:rsidR="003E3F85" w:rsidRPr="005D40AD" w:rsidRDefault="00847739" w:rsidP="003E3F85">
      <w:pPr>
        <w:numPr>
          <w:ilvl w:val="0"/>
          <w:numId w:val="2"/>
        </w:numPr>
        <w:tabs>
          <w:tab w:val="left" w:pos="709"/>
        </w:tabs>
        <w:suppressAutoHyphens/>
        <w:autoSpaceDE w:val="0"/>
        <w:jc w:val="both"/>
        <w:rPr>
          <w:lang w:val="en-GB"/>
        </w:rPr>
      </w:pPr>
      <w:bookmarkStart w:id="46" w:name="_Ref436740207"/>
      <w:r>
        <w:rPr>
          <w:lang w:val="en-GB"/>
        </w:rPr>
        <w:t>Secondly, t</w:t>
      </w:r>
      <w:r w:rsidR="00FC30AF" w:rsidRPr="005D40AD">
        <w:rPr>
          <w:lang w:val="en-GB"/>
        </w:rPr>
        <w:t xml:space="preserve">he </w:t>
      </w:r>
      <w:r w:rsidR="00FC30AF" w:rsidRPr="005D40AD">
        <w:t>Panel</w:t>
      </w:r>
      <w:r w:rsidR="00FC30AF" w:rsidRPr="005D40AD">
        <w:rPr>
          <w:lang w:val="en-GB"/>
        </w:rPr>
        <w:t xml:space="preserve"> notes that the positive obligation to investigate disappearances is widely accepted in international human rights law since at least the case of the Inter-American Court of Human Rights </w:t>
      </w:r>
      <w:r w:rsidR="00FC30AF" w:rsidRPr="005D40AD">
        <w:rPr>
          <w:i/>
          <w:lang w:val="en-GB"/>
        </w:rPr>
        <w:t xml:space="preserve">Velásquez-Rodríguez </w:t>
      </w:r>
      <w:r w:rsidR="00FC30AF" w:rsidRPr="005D40AD">
        <w:rPr>
          <w:lang w:val="en-GB"/>
        </w:rPr>
        <w:t xml:space="preserve">(see Inter-American Court of Human Rights (IACtHR), </w:t>
      </w:r>
      <w:r w:rsidR="00FC30AF" w:rsidRPr="005D40AD">
        <w:rPr>
          <w:i/>
          <w:lang w:val="en-GB"/>
        </w:rPr>
        <w:t>Velásquez-Rodríguez v. Honduras</w:t>
      </w:r>
      <w:r w:rsidR="00FC30AF" w:rsidRPr="005D40AD">
        <w:rPr>
          <w:lang w:val="en-GB"/>
        </w:rPr>
        <w:t xml:space="preserve">, judgment of 29 July 1988, Series C No. 4). </w:t>
      </w:r>
      <w:r w:rsidR="00273478" w:rsidRPr="005D40AD">
        <w:rPr>
          <w:lang w:val="en-GB"/>
        </w:rPr>
        <w:t>T</w:t>
      </w:r>
      <w:r w:rsidR="003E3F85" w:rsidRPr="005D40AD">
        <w:rPr>
          <w:lang w:val="en-GB"/>
        </w:rPr>
        <w:t xml:space="preserve">he Panel </w:t>
      </w:r>
      <w:r w:rsidR="00FC30AF" w:rsidRPr="005D40AD">
        <w:rPr>
          <w:lang w:val="en-GB"/>
        </w:rPr>
        <w:t xml:space="preserve">also </w:t>
      </w:r>
      <w:r w:rsidR="003E3F85" w:rsidRPr="005D40AD">
        <w:rPr>
          <w:lang w:val="en-GB"/>
        </w:rPr>
        <w:t xml:space="preserve">notes that the positive obligation to investigate has been stated by the </w:t>
      </w:r>
      <w:r w:rsidR="00423598" w:rsidRPr="005D40AD">
        <w:rPr>
          <w:lang w:val="en-GB"/>
        </w:rPr>
        <w:t>HRC</w:t>
      </w:r>
      <w:r w:rsidR="003E3F85" w:rsidRPr="005D40AD">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5D40AD">
        <w:rPr>
          <w:i/>
          <w:lang w:val="en-GB"/>
        </w:rPr>
        <w:t>Mohamed El Awani, v. Libyan Arab Jamahiriya</w:t>
      </w:r>
      <w:r w:rsidR="003E3F85" w:rsidRPr="005D40AD">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5D40AD">
        <w:t xml:space="preserve">UN Document </w:t>
      </w:r>
      <w:r w:rsidR="003E3F85" w:rsidRPr="005D40AD">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Start w:id="47" w:name="_Ref347561805"/>
      <w:bookmarkEnd w:id="41"/>
      <w:bookmarkEnd w:id="42"/>
      <w:bookmarkEnd w:id="44"/>
      <w:bookmarkEnd w:id="46"/>
    </w:p>
    <w:p w:rsidR="003E3F85" w:rsidRPr="005D40AD" w:rsidRDefault="003E3F85" w:rsidP="003E3F85">
      <w:pPr>
        <w:pStyle w:val="ListParagraph"/>
        <w:suppressAutoHyphens w:val="0"/>
        <w:ind w:left="360"/>
        <w:contextualSpacing/>
        <w:jc w:val="both"/>
        <w:rPr>
          <w:lang w:val="en-GB" w:eastAsia="en-US"/>
        </w:rPr>
      </w:pPr>
    </w:p>
    <w:p w:rsidR="003E3F85" w:rsidRPr="005D40AD" w:rsidRDefault="003E3F85" w:rsidP="003E3F85">
      <w:pPr>
        <w:numPr>
          <w:ilvl w:val="0"/>
          <w:numId w:val="2"/>
        </w:numPr>
        <w:tabs>
          <w:tab w:val="left" w:pos="709"/>
        </w:tabs>
        <w:suppressAutoHyphens/>
        <w:autoSpaceDE w:val="0"/>
        <w:jc w:val="both"/>
        <w:rPr>
          <w:lang w:val="en-GB"/>
        </w:rPr>
      </w:pPr>
      <w:bookmarkStart w:id="48" w:name="_Ref366239860"/>
      <w:r w:rsidRPr="005D40AD">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5D40AD">
        <w:rPr>
          <w:i/>
          <w:lang w:val="en-GB"/>
        </w:rPr>
        <w:t>mutatis mutandis</w:t>
      </w:r>
      <w:r w:rsidRPr="005D40AD">
        <w:rPr>
          <w:lang w:val="en-GB"/>
        </w:rPr>
        <w:t xml:space="preserve">, ECtHR, </w:t>
      </w:r>
      <w:r w:rsidRPr="005D40AD">
        <w:rPr>
          <w:i/>
          <w:lang w:val="en-GB"/>
        </w:rPr>
        <w:t>McCann and Others v. the United Kingdom</w:t>
      </w:r>
      <w:r w:rsidRPr="005D40AD">
        <w:rPr>
          <w:lang w:val="en-GB"/>
        </w:rPr>
        <w:t xml:space="preserve">, judgment of 27 September 1995, § 161, Series A no. 324; and ECtHR, </w:t>
      </w:r>
      <w:r w:rsidRPr="005D40AD">
        <w:rPr>
          <w:i/>
          <w:lang w:val="en-GB"/>
        </w:rPr>
        <w:t>Kaya v. Turkey</w:t>
      </w:r>
      <w:r w:rsidRPr="005D40AD">
        <w:rPr>
          <w:lang w:val="en-GB"/>
        </w:rPr>
        <w:t xml:space="preserve">, judgment of 19 February 1998, § 86, Reports 1998-I; see also ECtHR, </w:t>
      </w:r>
      <w:r w:rsidRPr="005D40AD">
        <w:rPr>
          <w:i/>
          <w:lang w:val="en-GB"/>
        </w:rPr>
        <w:t>Jasinskis v. Latvia</w:t>
      </w:r>
      <w:r w:rsidRPr="005D40AD">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5D40AD">
        <w:rPr>
          <w:i/>
          <w:lang w:val="en-GB"/>
        </w:rPr>
        <w:t>Kolevi v. Bulgaria</w:t>
      </w:r>
      <w:r w:rsidRPr="005D40AD">
        <w:rPr>
          <w:lang w:val="en-GB"/>
        </w:rPr>
        <w:t>, no. 1108/02, judgment of 5 November 2009, § 191).</w:t>
      </w:r>
      <w:bookmarkEnd w:id="47"/>
      <w:bookmarkEnd w:id="48"/>
    </w:p>
    <w:p w:rsidR="003E3F85" w:rsidRPr="005D40AD" w:rsidRDefault="003E3F85" w:rsidP="003E3F85">
      <w:pPr>
        <w:pStyle w:val="ListParagraph"/>
        <w:tabs>
          <w:tab w:val="num" w:pos="567"/>
        </w:tabs>
        <w:suppressAutoHyphens w:val="0"/>
        <w:ind w:left="567" w:hanging="425"/>
        <w:contextualSpacing/>
        <w:jc w:val="both"/>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49" w:name="_Ref401245061"/>
      <w:r w:rsidRPr="005D40AD">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5D40AD">
        <w:rPr>
          <w:i/>
          <w:lang w:val="en-GB"/>
        </w:rPr>
        <w:t>Varnava and Others v. Turkey</w:t>
      </w:r>
      <w:r w:rsidRPr="005D40AD">
        <w:rPr>
          <w:lang w:val="en-GB"/>
        </w:rPr>
        <w:t xml:space="preserve">, cited in § </w:t>
      </w:r>
      <w:r w:rsidRPr="005D40AD">
        <w:fldChar w:fldCharType="begin"/>
      </w:r>
      <w:r w:rsidRPr="005D40AD">
        <w:instrText xml:space="preserve"> REF _Ref346123885 \r \h  \* MERGEFORMAT </w:instrText>
      </w:r>
      <w:r w:rsidRPr="005D40AD">
        <w:fldChar w:fldCharType="separate"/>
      </w:r>
      <w:r w:rsidR="00AC127D" w:rsidRPr="00AC127D">
        <w:rPr>
          <w:lang w:val="en-GB"/>
        </w:rPr>
        <w:t>32</w:t>
      </w:r>
      <w:r w:rsidRPr="005D40AD">
        <w:fldChar w:fldCharType="end"/>
      </w:r>
      <w:r w:rsidRPr="005D40AD">
        <w:rPr>
          <w:lang w:val="en-GB"/>
        </w:rPr>
        <w:t xml:space="preserve"> above, at § 136</w:t>
      </w:r>
      <w:r w:rsidR="00423598" w:rsidRPr="005D40AD">
        <w:rPr>
          <w:lang w:val="en-GB"/>
        </w:rPr>
        <w:t>,</w:t>
      </w:r>
      <w:r w:rsidR="00423598" w:rsidRPr="005D40AD">
        <w:rPr>
          <w:i/>
          <w:iCs/>
          <w:lang w:val="en-GB"/>
        </w:rPr>
        <w:t xml:space="preserve"> </w:t>
      </w:r>
      <w:proofErr w:type="spellStart"/>
      <w:r w:rsidR="00423598" w:rsidRPr="005D40AD">
        <w:rPr>
          <w:lang w:val="en-GB"/>
        </w:rPr>
        <w:t>ECtHR</w:t>
      </w:r>
      <w:proofErr w:type="spellEnd"/>
      <w:r w:rsidR="00423598" w:rsidRPr="005D40AD">
        <w:rPr>
          <w:lang w:val="en-GB"/>
        </w:rPr>
        <w:t xml:space="preserve"> [GC], </w:t>
      </w:r>
      <w:proofErr w:type="spellStart"/>
      <w:r w:rsidR="00423598" w:rsidRPr="005D40AD">
        <w:rPr>
          <w:i/>
          <w:iCs/>
          <w:lang w:val="en-GB"/>
        </w:rPr>
        <w:t>Mocanu</w:t>
      </w:r>
      <w:proofErr w:type="spellEnd"/>
      <w:r w:rsidR="00423598" w:rsidRPr="005D40AD">
        <w:rPr>
          <w:i/>
          <w:iCs/>
          <w:lang w:val="en-GB"/>
        </w:rPr>
        <w:t xml:space="preserve"> and Others v. Romania</w:t>
      </w:r>
      <w:r w:rsidR="00423598" w:rsidRPr="005D40AD">
        <w:rPr>
          <w:lang w:val="en-GB"/>
        </w:rPr>
        <w:t xml:space="preserve">, </w:t>
      </w:r>
      <w:proofErr w:type="spellStart"/>
      <w:r w:rsidR="00423598" w:rsidRPr="005D40AD">
        <w:rPr>
          <w:lang w:val="en-GB"/>
        </w:rPr>
        <w:t>nos</w:t>
      </w:r>
      <w:proofErr w:type="spellEnd"/>
      <w:r w:rsidR="00423598" w:rsidRPr="005D40AD">
        <w:rPr>
          <w:lang w:val="en-GB"/>
        </w:rPr>
        <w:t xml:space="preserve"> 10865/09, 45886/07 and 32431/08, judgment of 17 September 2014, § 317).</w:t>
      </w:r>
      <w:bookmarkEnd w:id="49"/>
    </w:p>
    <w:p w:rsidR="003E3F85" w:rsidRPr="005D40AD" w:rsidRDefault="003E3F85" w:rsidP="003E3F85">
      <w:pPr>
        <w:pStyle w:val="ListParagraph"/>
        <w:tabs>
          <w:tab w:val="num" w:pos="567"/>
        </w:tabs>
        <w:suppressAutoHyphens w:val="0"/>
        <w:ind w:left="567" w:hanging="425"/>
        <w:contextualSpacing/>
        <w:jc w:val="both"/>
        <w:rPr>
          <w:lang w:val="en-GB"/>
        </w:rPr>
      </w:pPr>
    </w:p>
    <w:p w:rsidR="003E3F85" w:rsidRPr="005D40AD" w:rsidRDefault="003E3F85" w:rsidP="00423598">
      <w:pPr>
        <w:pStyle w:val="ListParagraph"/>
        <w:numPr>
          <w:ilvl w:val="0"/>
          <w:numId w:val="2"/>
        </w:numPr>
        <w:jc w:val="both"/>
        <w:rPr>
          <w:lang w:val="en-GB" w:eastAsia="en-US"/>
        </w:rPr>
      </w:pPr>
      <w:bookmarkStart w:id="50" w:name="_Ref366240125"/>
      <w:r w:rsidRPr="005D40AD">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5D40AD">
        <w:rPr>
          <w:i/>
          <w:lang w:val="en-GB"/>
        </w:rPr>
        <w:t>Ahmet Özkan and Others v. Turkey</w:t>
      </w:r>
      <w:r w:rsidRPr="005D40AD">
        <w:rPr>
          <w:lang w:val="en-GB"/>
        </w:rPr>
        <w:t xml:space="preserve">, no. 21689/93, judgment of 6 April 2004, § 310, see also ECtHR, </w:t>
      </w:r>
      <w:r w:rsidRPr="005D40AD">
        <w:rPr>
          <w:i/>
          <w:lang w:val="en-GB"/>
        </w:rPr>
        <w:t>Isayeva v. Russia</w:t>
      </w:r>
      <w:r w:rsidRPr="005D40AD">
        <w:rPr>
          <w:lang w:val="en-GB"/>
        </w:rPr>
        <w:t>, no. 57950/00, judg</w:t>
      </w:r>
      <w:r w:rsidR="00423598" w:rsidRPr="005D40AD">
        <w:rPr>
          <w:lang w:val="en-GB"/>
        </w:rPr>
        <w:t>ment of 24 February 2005, § 210,</w:t>
      </w:r>
      <w:r w:rsidR="00423598" w:rsidRPr="005D40AD">
        <w:rPr>
          <w:lang w:val="en-GB" w:eastAsia="en-US"/>
        </w:rPr>
        <w:t xml:space="preserve"> </w:t>
      </w:r>
      <w:proofErr w:type="spellStart"/>
      <w:r w:rsidR="00423598" w:rsidRPr="005D40AD">
        <w:rPr>
          <w:lang w:val="en-GB" w:eastAsia="en-US"/>
        </w:rPr>
        <w:t>ECtHR</w:t>
      </w:r>
      <w:proofErr w:type="spellEnd"/>
      <w:r w:rsidR="00423598" w:rsidRPr="005D40AD">
        <w:rPr>
          <w:lang w:val="en-GB" w:eastAsia="en-US"/>
        </w:rPr>
        <w:t xml:space="preserve"> [GC], </w:t>
      </w:r>
      <w:proofErr w:type="spellStart"/>
      <w:r w:rsidR="00423598" w:rsidRPr="005D40AD">
        <w:rPr>
          <w:i/>
          <w:lang w:val="en-GB" w:eastAsia="en-US"/>
        </w:rPr>
        <w:t>Mocanu</w:t>
      </w:r>
      <w:proofErr w:type="spellEnd"/>
      <w:r w:rsidR="00423598" w:rsidRPr="005D40AD">
        <w:rPr>
          <w:i/>
          <w:lang w:val="en-GB" w:eastAsia="en-US"/>
        </w:rPr>
        <w:t xml:space="preserve"> and Others v. Romania</w:t>
      </w:r>
      <w:r w:rsidR="00423598" w:rsidRPr="005D40AD">
        <w:rPr>
          <w:lang w:val="en-GB" w:eastAsia="en-US"/>
        </w:rPr>
        <w:t>, cited above, § 321).</w:t>
      </w:r>
      <w:bookmarkStart w:id="51" w:name="_Ref346724174"/>
      <w:bookmarkEnd w:id="50"/>
    </w:p>
    <w:p w:rsidR="003E3F85" w:rsidRPr="005D40AD" w:rsidRDefault="003E3F85" w:rsidP="003E3F85">
      <w:pPr>
        <w:pStyle w:val="ListParagraph"/>
        <w:tabs>
          <w:tab w:val="num" w:pos="567"/>
        </w:tabs>
        <w:ind w:left="567" w:hanging="425"/>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52" w:name="_Ref366239979"/>
      <w:r w:rsidRPr="005D40AD">
        <w:rPr>
          <w:lang w:val="en-GB"/>
        </w:rPr>
        <w:t>Setting out the standards of an effective investigat</w:t>
      </w:r>
      <w:r w:rsidR="00CD6EFB" w:rsidRPr="005D40AD">
        <w:rPr>
          <w:lang w:val="en-GB"/>
        </w:rPr>
        <w:t xml:space="preserve">ion, the Court has stated that </w:t>
      </w:r>
      <w:r w:rsidRPr="005D40AD">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5D40AD">
        <w:rPr>
          <w:lang w:val="en-GB"/>
        </w:rPr>
        <w:t>punishment of those responsible</w:t>
      </w:r>
      <w:r w:rsidRPr="005D40AD">
        <w:rPr>
          <w:lang w:val="en-GB"/>
        </w:rPr>
        <w:t xml:space="preserve"> (see ECtHR [GC], </w:t>
      </w:r>
      <w:r w:rsidRPr="005D40AD">
        <w:rPr>
          <w:i/>
          <w:lang w:val="en-GB"/>
        </w:rPr>
        <w:t xml:space="preserve">Varnava and Others v. </w:t>
      </w:r>
      <w:r w:rsidRPr="005D40AD">
        <w:rPr>
          <w:lang w:val="en-GB"/>
        </w:rPr>
        <w:t xml:space="preserve">Turkey, cited in § </w:t>
      </w:r>
      <w:r w:rsidRPr="005D40AD">
        <w:fldChar w:fldCharType="begin"/>
      </w:r>
      <w:r w:rsidRPr="005D40AD">
        <w:instrText xml:space="preserve"> REF _Ref346123885 \r \h  \* MERGEFORMAT </w:instrText>
      </w:r>
      <w:r w:rsidRPr="005D40AD">
        <w:fldChar w:fldCharType="separate"/>
      </w:r>
      <w:r w:rsidR="00AC127D" w:rsidRPr="00AC127D">
        <w:rPr>
          <w:lang w:val="en-GB"/>
        </w:rPr>
        <w:t>32</w:t>
      </w:r>
      <w:r w:rsidRPr="005D40AD">
        <w:fldChar w:fldCharType="end"/>
      </w:r>
      <w:r w:rsidRPr="005D40AD">
        <w:rPr>
          <w:lang w:val="en-GB"/>
        </w:rPr>
        <w:t xml:space="preserve"> above, at § 191; see also ECtHR, </w:t>
      </w:r>
      <w:r w:rsidRPr="005D40AD">
        <w:rPr>
          <w:i/>
          <w:lang w:val="en-GB"/>
        </w:rPr>
        <w:t>Palić v. Bosnia and Herzegovina</w:t>
      </w:r>
      <w:r w:rsidRPr="005D40AD">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5D40AD">
        <w:rPr>
          <w:i/>
          <w:lang w:val="en-GB"/>
        </w:rPr>
        <w:t>Ahmet Özkan and Others v. Turkey</w:t>
      </w:r>
      <w:r w:rsidRPr="005D40AD">
        <w:rPr>
          <w:lang w:val="en-GB"/>
        </w:rPr>
        <w:t>, cited above, at § 312, and ECtHR,</w:t>
      </w:r>
      <w:r w:rsidRPr="005D40AD">
        <w:rPr>
          <w:i/>
          <w:lang w:val="en-GB"/>
        </w:rPr>
        <w:t xml:space="preserve"> Isayeva v. Russia</w:t>
      </w:r>
      <w:r w:rsidRPr="005D40AD">
        <w:rPr>
          <w:lang w:val="en-GB"/>
        </w:rPr>
        <w:t>, cited above, at § 212).</w:t>
      </w:r>
      <w:bookmarkEnd w:id="51"/>
      <w:bookmarkEnd w:id="52"/>
      <w:r w:rsidRPr="005D40AD">
        <w:rPr>
          <w:lang w:val="en-GB"/>
        </w:rPr>
        <w:t xml:space="preserve"> </w:t>
      </w:r>
    </w:p>
    <w:p w:rsidR="003E3F85" w:rsidRPr="005D40AD" w:rsidRDefault="003E3F85" w:rsidP="003E3F85">
      <w:pPr>
        <w:pStyle w:val="ListParagraph"/>
        <w:suppressAutoHyphens w:val="0"/>
        <w:ind w:left="360"/>
        <w:contextualSpacing/>
        <w:jc w:val="both"/>
        <w:rPr>
          <w:lang w:val="en-GB" w:eastAsia="en-US"/>
        </w:rPr>
      </w:pPr>
    </w:p>
    <w:p w:rsidR="00423598" w:rsidRPr="005D40AD" w:rsidRDefault="003E3F85" w:rsidP="00423598">
      <w:pPr>
        <w:pStyle w:val="ListParagraph"/>
        <w:numPr>
          <w:ilvl w:val="0"/>
          <w:numId w:val="2"/>
        </w:numPr>
        <w:jc w:val="both"/>
        <w:rPr>
          <w:lang w:val="en-GB" w:eastAsia="en-US"/>
        </w:rPr>
      </w:pPr>
      <w:bookmarkStart w:id="53" w:name="_Ref373832219"/>
      <w:bookmarkStart w:id="54" w:name="_Ref401245516"/>
      <w:r w:rsidRPr="005D40AD">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5D40AD">
        <w:rPr>
          <w:i/>
          <w:lang w:val="en-GB"/>
        </w:rPr>
        <w:t>Kolevi v. Bulgaria</w:t>
      </w:r>
      <w:r w:rsidRPr="005D40AD">
        <w:rPr>
          <w:lang w:val="en-GB"/>
        </w:rPr>
        <w:t xml:space="preserve">, cited in § </w:t>
      </w:r>
      <w:r w:rsidRPr="005D40AD">
        <w:fldChar w:fldCharType="begin"/>
      </w:r>
      <w:r w:rsidRPr="005D40AD">
        <w:instrText xml:space="preserve"> REF _Ref366239860 \r \h  \* MERGEFORMAT </w:instrText>
      </w:r>
      <w:r w:rsidRPr="005D40AD">
        <w:fldChar w:fldCharType="separate"/>
      </w:r>
      <w:r w:rsidR="00AC127D" w:rsidRPr="00AC127D">
        <w:rPr>
          <w:lang w:val="en-GB"/>
        </w:rPr>
        <w:t>57</w:t>
      </w:r>
      <w:r w:rsidRPr="005D40AD">
        <w:fldChar w:fldCharType="end"/>
      </w:r>
      <w:r w:rsidRPr="005D40AD">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53"/>
      <w:r w:rsidR="00423598" w:rsidRPr="005D40AD">
        <w:rPr>
          <w:lang w:val="en-GB"/>
        </w:rPr>
        <w:t xml:space="preserve"> (see ECtHR, </w:t>
      </w:r>
      <w:r w:rsidR="00423598" w:rsidRPr="005D40AD">
        <w:rPr>
          <w:i/>
          <w:lang w:val="en-GB"/>
        </w:rPr>
        <w:t>Velcea and Mazăre v. Romania</w:t>
      </w:r>
      <w:r w:rsidR="00423598" w:rsidRPr="005D40AD">
        <w:rPr>
          <w:lang w:val="en-GB"/>
        </w:rPr>
        <w:t xml:space="preserve">, no. 64301/01, judgment of 1 December 2009, § 105). At the same time, </w:t>
      </w:r>
      <w:r w:rsidR="00423598" w:rsidRPr="005D40AD">
        <w:rPr>
          <w:rStyle w:val="sb8d990e2"/>
        </w:rPr>
        <w:t xml:space="preserve">the authorities must always make a serious attempt to find out what happened and should not rely on hasty or ill-founded conclusions to close their investigation </w:t>
      </w:r>
      <w:r w:rsidR="00423598" w:rsidRPr="005D40AD">
        <w:rPr>
          <w:lang w:val="en-GB" w:eastAsia="en-US"/>
        </w:rPr>
        <w:t xml:space="preserve">(see ECtHR [GC], </w:t>
      </w:r>
      <w:r w:rsidR="00993514" w:rsidRPr="005D40AD">
        <w:rPr>
          <w:i/>
          <w:lang w:val="en-GB" w:eastAsia="en-US"/>
        </w:rPr>
        <w:t>El-Masri v. “t</w:t>
      </w:r>
      <w:r w:rsidR="00713D84" w:rsidRPr="005D40AD">
        <w:rPr>
          <w:i/>
          <w:lang w:val="en-GB" w:eastAsia="en-US"/>
        </w:rPr>
        <w:t>he f</w:t>
      </w:r>
      <w:r w:rsidR="00423598" w:rsidRPr="005D40AD">
        <w:rPr>
          <w:i/>
          <w:lang w:val="en-GB" w:eastAsia="en-US"/>
        </w:rPr>
        <w:t>ormer Yugoslav Republic of Macedonia”</w:t>
      </w:r>
      <w:r w:rsidR="00423598" w:rsidRPr="005D40AD">
        <w:rPr>
          <w:lang w:val="en-GB" w:eastAsia="en-US"/>
        </w:rPr>
        <w:t xml:space="preserve">, no. 39630/09, judgment of 13 December 2012, § 183; </w:t>
      </w:r>
      <w:proofErr w:type="spellStart"/>
      <w:r w:rsidR="00423598" w:rsidRPr="005D40AD">
        <w:rPr>
          <w:lang w:val="en-GB" w:eastAsia="en-US"/>
        </w:rPr>
        <w:t>ECtHR</w:t>
      </w:r>
      <w:proofErr w:type="spellEnd"/>
      <w:r w:rsidR="00423598" w:rsidRPr="005D40AD">
        <w:rPr>
          <w:lang w:val="en-GB" w:eastAsia="en-US"/>
        </w:rPr>
        <w:t xml:space="preserve"> [GC], </w:t>
      </w:r>
      <w:proofErr w:type="spellStart"/>
      <w:r w:rsidR="00423598" w:rsidRPr="005D40AD">
        <w:rPr>
          <w:i/>
          <w:lang w:val="en-GB" w:eastAsia="en-US"/>
        </w:rPr>
        <w:t>Mocanu</w:t>
      </w:r>
      <w:proofErr w:type="spellEnd"/>
      <w:r w:rsidR="00423598" w:rsidRPr="005D40AD">
        <w:rPr>
          <w:i/>
          <w:lang w:val="en-GB" w:eastAsia="en-US"/>
        </w:rPr>
        <w:t xml:space="preserve"> and Others v. Romania</w:t>
      </w:r>
      <w:r w:rsidR="00423598" w:rsidRPr="005D40AD">
        <w:rPr>
          <w:lang w:val="en-GB" w:eastAsia="en-US"/>
        </w:rPr>
        <w:t xml:space="preserve">, cited in § </w:t>
      </w:r>
      <w:r w:rsidR="00423598" w:rsidRPr="005D40AD">
        <w:rPr>
          <w:lang w:val="en-GB" w:eastAsia="en-US"/>
        </w:rPr>
        <w:fldChar w:fldCharType="begin"/>
      </w:r>
      <w:r w:rsidR="00423598" w:rsidRPr="005D40AD">
        <w:rPr>
          <w:lang w:val="en-GB" w:eastAsia="en-US"/>
        </w:rPr>
        <w:instrText xml:space="preserve"> REF _Ref401245061 \r \h </w:instrText>
      </w:r>
      <w:r w:rsidR="00393E7A" w:rsidRPr="005D40AD">
        <w:rPr>
          <w:lang w:val="en-GB" w:eastAsia="en-US"/>
        </w:rPr>
        <w:instrText xml:space="preserve"> \* MERGEFORMAT </w:instrText>
      </w:r>
      <w:r w:rsidR="00423598" w:rsidRPr="005D40AD">
        <w:rPr>
          <w:lang w:val="en-GB" w:eastAsia="en-US"/>
        </w:rPr>
      </w:r>
      <w:r w:rsidR="00423598" w:rsidRPr="005D40AD">
        <w:rPr>
          <w:lang w:val="en-GB" w:eastAsia="en-US"/>
        </w:rPr>
        <w:fldChar w:fldCharType="separate"/>
      </w:r>
      <w:r w:rsidR="00AC127D">
        <w:rPr>
          <w:lang w:val="en-GB" w:eastAsia="en-US"/>
        </w:rPr>
        <w:t>58</w:t>
      </w:r>
      <w:r w:rsidR="00423598" w:rsidRPr="005D40AD">
        <w:rPr>
          <w:lang w:val="en-GB" w:eastAsia="en-US"/>
        </w:rPr>
        <w:fldChar w:fldCharType="end"/>
      </w:r>
      <w:r w:rsidR="00423598" w:rsidRPr="005D40AD">
        <w:rPr>
          <w:lang w:val="en-GB" w:eastAsia="en-US"/>
        </w:rPr>
        <w:t xml:space="preserve"> above, at § 322).</w:t>
      </w:r>
      <w:bookmarkEnd w:id="54"/>
    </w:p>
    <w:p w:rsidR="003E3F85" w:rsidRPr="005D40AD" w:rsidRDefault="003E3F85" w:rsidP="00423598">
      <w:pPr>
        <w:tabs>
          <w:tab w:val="left" w:pos="709"/>
        </w:tabs>
        <w:suppressAutoHyphens/>
        <w:autoSpaceDE w:val="0"/>
        <w:ind w:left="360"/>
        <w:jc w:val="both"/>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55" w:name="_Ref404684740"/>
      <w:r w:rsidRPr="005D40AD">
        <w:rPr>
          <w:rStyle w:val="sb8d990e2"/>
        </w:rPr>
        <w:t xml:space="preserve">A requirement of promptness and reasonable expedition is implicit in this context. Even where there may be obstacles or difficulties which prevent progress in an </w:t>
      </w:r>
      <w:bookmarkStart w:id="56" w:name="HIT98"/>
      <w:bookmarkEnd w:id="56"/>
      <w:r w:rsidRPr="005D40AD">
        <w:rPr>
          <w:rStyle w:val="sb8d990e2"/>
        </w:rPr>
        <w:t xml:space="preserve">investigation in a particular situation, a </w:t>
      </w:r>
      <w:bookmarkStart w:id="57" w:name="HIT99"/>
      <w:bookmarkEnd w:id="57"/>
      <w:r w:rsidRPr="005D40AD">
        <w:rPr>
          <w:rStyle w:val="sb8d990e2"/>
        </w:rPr>
        <w:t>prompt response by the authorities is vital in maintaining public confidence in their adherence to the rule of law and in preventing any appearance of collusion in or tolerance of unlawful acts (see ECtHR,</w:t>
      </w:r>
      <w:r w:rsidRPr="005D40AD">
        <w:rPr>
          <w:rStyle w:val="s6b621b36"/>
        </w:rPr>
        <w:t xml:space="preserve"> </w:t>
      </w:r>
      <w:r w:rsidRPr="005D40AD">
        <w:rPr>
          <w:rStyle w:val="s6b621b36"/>
          <w:i/>
        </w:rPr>
        <w:t>Paul and Audrey Edwards</w:t>
      </w:r>
      <w:r w:rsidRPr="005D40AD">
        <w:rPr>
          <w:rStyle w:val="sb8d990e2"/>
        </w:rPr>
        <w:t xml:space="preserve"> </w:t>
      </w:r>
      <w:r w:rsidRPr="005D40AD">
        <w:rPr>
          <w:i/>
        </w:rPr>
        <w:t>v. the United Kingdom</w:t>
      </w:r>
      <w:r w:rsidRPr="005D40AD">
        <w:t xml:space="preserve">, no. 46477/99, judgment of 14 March 2002, § 72, </w:t>
      </w:r>
      <w:proofErr w:type="spellStart"/>
      <w:r w:rsidR="00423598" w:rsidRPr="005D40AD">
        <w:t>ECtHR</w:t>
      </w:r>
      <w:proofErr w:type="spellEnd"/>
      <w:r w:rsidR="00423598" w:rsidRPr="005D40AD">
        <w:t xml:space="preserve"> [GC], </w:t>
      </w:r>
      <w:proofErr w:type="spellStart"/>
      <w:r w:rsidR="00423598" w:rsidRPr="005D40AD">
        <w:rPr>
          <w:i/>
        </w:rPr>
        <w:t>Mocanu</w:t>
      </w:r>
      <w:proofErr w:type="spellEnd"/>
      <w:r w:rsidR="00423598" w:rsidRPr="005D40AD">
        <w:rPr>
          <w:i/>
        </w:rPr>
        <w:t xml:space="preserve"> and Others v. Romania</w:t>
      </w:r>
      <w:r w:rsidR="00423598" w:rsidRPr="005D40AD">
        <w:t xml:space="preserve">, cited in § </w:t>
      </w:r>
      <w:r w:rsidR="00423598" w:rsidRPr="005D40AD">
        <w:fldChar w:fldCharType="begin"/>
      </w:r>
      <w:r w:rsidR="00423598" w:rsidRPr="005D40AD">
        <w:instrText xml:space="preserve"> REF _Ref401245061 \r \h </w:instrText>
      </w:r>
      <w:r w:rsidR="00393E7A" w:rsidRPr="005D40AD">
        <w:instrText xml:space="preserve"> \* MERGEFORMAT </w:instrText>
      </w:r>
      <w:r w:rsidR="00423598" w:rsidRPr="005D40AD">
        <w:fldChar w:fldCharType="separate"/>
      </w:r>
      <w:r w:rsidR="00AC127D">
        <w:t>58</w:t>
      </w:r>
      <w:r w:rsidR="00423598" w:rsidRPr="005D40AD">
        <w:fldChar w:fldCharType="end"/>
      </w:r>
      <w:r w:rsidR="00423598" w:rsidRPr="005D40AD">
        <w:t xml:space="preserve"> above, at § 323</w:t>
      </w:r>
      <w:r w:rsidRPr="005D40AD">
        <w:t>).</w:t>
      </w:r>
      <w:bookmarkEnd w:id="55"/>
    </w:p>
    <w:p w:rsidR="003E3F85" w:rsidRPr="005D40AD" w:rsidRDefault="003E3F85" w:rsidP="003E3F85">
      <w:pPr>
        <w:tabs>
          <w:tab w:val="num" w:pos="567"/>
        </w:tabs>
        <w:ind w:left="567" w:hanging="425"/>
        <w:contextualSpacing/>
        <w:jc w:val="both"/>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58" w:name="_Ref373950745"/>
      <w:r w:rsidRPr="005D40AD">
        <w:rPr>
          <w:lang w:val="en-GB"/>
        </w:rPr>
        <w:t>Specifically with regard to persons disappeared and later found dead,</w:t>
      </w:r>
      <w:r w:rsidR="00DB4BC9" w:rsidRPr="005D40AD">
        <w:rPr>
          <w:lang w:val="en-GB"/>
        </w:rPr>
        <w:t xml:space="preserve"> </w:t>
      </w:r>
      <w:r w:rsidRPr="005D40AD">
        <w:rPr>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5D40AD">
        <w:rPr>
          <w:i/>
          <w:lang w:val="en-GB"/>
        </w:rPr>
        <w:t>Palić v. Bosnia and Herzegovina</w:t>
      </w:r>
      <w:r w:rsidRPr="005D40AD">
        <w:rPr>
          <w:lang w:val="en-GB"/>
        </w:rPr>
        <w:t xml:space="preserve">, cited in § </w:t>
      </w:r>
      <w:r w:rsidRPr="005D40AD">
        <w:fldChar w:fldCharType="begin"/>
      </w:r>
      <w:r w:rsidRPr="005D40AD">
        <w:instrText xml:space="preserve"> REF _Ref366239979 \r \h  \* MERGEFORMAT </w:instrText>
      </w:r>
      <w:r w:rsidRPr="005D40AD">
        <w:fldChar w:fldCharType="separate"/>
      </w:r>
      <w:r w:rsidR="00AC127D" w:rsidRPr="00AC127D">
        <w:rPr>
          <w:lang w:val="en-GB"/>
        </w:rPr>
        <w:t>60</w:t>
      </w:r>
      <w:r w:rsidRPr="005D40AD">
        <w:fldChar w:fldCharType="end"/>
      </w:r>
      <w:r w:rsidRPr="005D40AD">
        <w:rPr>
          <w:lang w:val="en-GB"/>
        </w:rPr>
        <w:t xml:space="preserve"> above, § 46; in the same sense ECtHR [GC], </w:t>
      </w:r>
      <w:r w:rsidRPr="005D40AD">
        <w:rPr>
          <w:i/>
          <w:lang w:val="en-GB"/>
        </w:rPr>
        <w:t>Varnava and Others v. Turkey</w:t>
      </w:r>
      <w:r w:rsidRPr="005D40AD">
        <w:rPr>
          <w:lang w:val="en-GB"/>
        </w:rPr>
        <w:t xml:space="preserve">, cited in § </w:t>
      </w:r>
      <w:r w:rsidRPr="005D40AD">
        <w:fldChar w:fldCharType="begin"/>
      </w:r>
      <w:r w:rsidRPr="005D40AD">
        <w:instrText xml:space="preserve"> REF _Ref346123885 \r \h  \* MERGEFORMAT </w:instrText>
      </w:r>
      <w:r w:rsidRPr="005D40AD">
        <w:fldChar w:fldCharType="separate"/>
      </w:r>
      <w:r w:rsidR="00AC127D" w:rsidRPr="00AC127D">
        <w:rPr>
          <w:lang w:val="en-GB"/>
        </w:rPr>
        <w:t>32</w:t>
      </w:r>
      <w:r w:rsidRPr="005D40AD">
        <w:fldChar w:fldCharType="end"/>
      </w:r>
      <w:r w:rsidRPr="005D40AD">
        <w:rPr>
          <w:lang w:val="en-GB"/>
        </w:rPr>
        <w:t xml:space="preserve"> above, § 148, </w:t>
      </w:r>
      <w:r w:rsidRPr="005D40AD">
        <w:rPr>
          <w:i/>
          <w:lang w:val="en-GB"/>
        </w:rPr>
        <w:t>Aslakhanova and Others v. Russia</w:t>
      </w:r>
      <w:r w:rsidRPr="005D40AD">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5D40AD">
        <w:rPr>
          <w:lang w:val="en-GB"/>
        </w:rPr>
        <w:t>disappearance and probable killing</w:t>
      </w:r>
      <w:r w:rsidRPr="005D40AD">
        <w:rPr>
          <w:lang w:val="en-GB"/>
        </w:rPr>
        <w:t xml:space="preserve">, as well as to identify and prosecute any perpetrator of unlawful acts in that connection, will generally remain” (ECtHR, </w:t>
      </w:r>
      <w:r w:rsidRPr="005D40AD">
        <w:rPr>
          <w:i/>
          <w:lang w:val="en-GB"/>
        </w:rPr>
        <w:t>Palić v. Bosnia and Herzegovina</w:t>
      </w:r>
      <w:r w:rsidRPr="005D40AD">
        <w:rPr>
          <w:lang w:val="en-GB"/>
        </w:rPr>
        <w:t xml:space="preserve">, cited above, </w:t>
      </w:r>
      <w:r w:rsidR="002B3ED8">
        <w:rPr>
          <w:lang w:val="en-GB"/>
        </w:rPr>
        <w:t xml:space="preserve">at </w:t>
      </w:r>
      <w:r w:rsidRPr="005D40AD">
        <w:rPr>
          <w:lang w:val="en-GB"/>
        </w:rPr>
        <w:t xml:space="preserve">§ 46; in the same sense ECtHR [GC], </w:t>
      </w:r>
      <w:r w:rsidRPr="005D40AD">
        <w:rPr>
          <w:i/>
          <w:lang w:val="en-GB"/>
        </w:rPr>
        <w:t>Varnava and Others v. Turkey</w:t>
      </w:r>
      <w:r w:rsidRPr="005D40AD">
        <w:rPr>
          <w:lang w:val="en-GB"/>
        </w:rPr>
        <w:t>, cited above,</w:t>
      </w:r>
      <w:r w:rsidR="002B3ED8">
        <w:rPr>
          <w:lang w:val="en-GB"/>
        </w:rPr>
        <w:t xml:space="preserve"> at</w:t>
      </w:r>
      <w:r w:rsidRPr="005D40AD">
        <w:rPr>
          <w:lang w:val="en-GB"/>
        </w:rPr>
        <w:t xml:space="preserve"> § 145). While the location and the subsequent identification of the mortal remains of the victim may in themselves be significant achievements, the procedural obligation under Article 2 continues to exist (see ECtHR, </w:t>
      </w:r>
      <w:r w:rsidRPr="005D40AD">
        <w:rPr>
          <w:i/>
          <w:lang w:val="en-GB"/>
        </w:rPr>
        <w:t>Palić v. Bosnia and Herzegovina</w:t>
      </w:r>
      <w:r w:rsidRPr="005D40AD">
        <w:rPr>
          <w:lang w:val="en-GB"/>
        </w:rPr>
        <w:t xml:space="preserve">, cited above, </w:t>
      </w:r>
      <w:r w:rsidR="002B3ED8">
        <w:rPr>
          <w:lang w:val="en-GB"/>
        </w:rPr>
        <w:t xml:space="preserve">at </w:t>
      </w:r>
      <w:r w:rsidRPr="005D40AD">
        <w:rPr>
          <w:lang w:val="en-GB"/>
        </w:rPr>
        <w:t>§ 64).</w:t>
      </w:r>
      <w:bookmarkStart w:id="59" w:name="_Ref347937166"/>
      <w:bookmarkEnd w:id="58"/>
    </w:p>
    <w:p w:rsidR="003E3F85" w:rsidRPr="005D40AD" w:rsidRDefault="003E3F85" w:rsidP="003E3F85">
      <w:pPr>
        <w:pStyle w:val="ListParagraph"/>
        <w:suppressAutoHyphens w:val="0"/>
        <w:ind w:left="360"/>
        <w:contextualSpacing/>
        <w:jc w:val="both"/>
        <w:rPr>
          <w:lang w:val="en-GB" w:eastAsia="en-US"/>
        </w:rPr>
      </w:pPr>
    </w:p>
    <w:p w:rsidR="002437E9" w:rsidRPr="005D40AD" w:rsidRDefault="003E3F85" w:rsidP="002437E9">
      <w:pPr>
        <w:numPr>
          <w:ilvl w:val="0"/>
          <w:numId w:val="2"/>
        </w:numPr>
        <w:tabs>
          <w:tab w:val="left" w:pos="709"/>
        </w:tabs>
        <w:suppressAutoHyphens/>
        <w:autoSpaceDE w:val="0"/>
        <w:jc w:val="both"/>
        <w:rPr>
          <w:lang w:val="en-GB"/>
        </w:rPr>
      </w:pPr>
      <w:bookmarkStart w:id="60" w:name="_Ref366240205"/>
      <w:r w:rsidRPr="005D40A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5D40AD">
        <w:rPr>
          <w:lang w:val="en-GB"/>
        </w:rPr>
        <w:t xml:space="preserve">ECtHR, </w:t>
      </w:r>
      <w:r w:rsidRPr="005D40AD">
        <w:rPr>
          <w:i/>
          <w:lang w:val="en-GB"/>
        </w:rPr>
        <w:t>Ahmet Özkan and Others v. Turkey</w:t>
      </w:r>
      <w:r w:rsidRPr="005D40AD">
        <w:rPr>
          <w:lang w:val="en-GB"/>
        </w:rPr>
        <w:t xml:space="preserve">, cited in § </w:t>
      </w:r>
      <w:r w:rsidRPr="005D40AD">
        <w:fldChar w:fldCharType="begin"/>
      </w:r>
      <w:r w:rsidRPr="005D40AD">
        <w:instrText xml:space="preserve"> REF _Ref366240125 \r \h  \* MERGEFORMAT </w:instrText>
      </w:r>
      <w:r w:rsidRPr="005D40AD">
        <w:fldChar w:fldCharType="separate"/>
      </w:r>
      <w:r w:rsidR="00AC127D" w:rsidRPr="00AC127D">
        <w:rPr>
          <w:lang w:val="en-GB"/>
        </w:rPr>
        <w:t>59</w:t>
      </w:r>
      <w:r w:rsidRPr="005D40AD">
        <w:fldChar w:fldCharType="end"/>
      </w:r>
      <w:r w:rsidRPr="005D40AD">
        <w:rPr>
          <w:lang w:val="en-GB"/>
        </w:rPr>
        <w:t xml:space="preserve"> above, at §§ 311</w:t>
      </w:r>
      <w:r w:rsidRPr="005D40AD">
        <w:rPr>
          <w:lang w:val="en-GB"/>
        </w:rPr>
        <w:noBreakHyphen/>
        <w:t xml:space="preserve">314; </w:t>
      </w:r>
      <w:r w:rsidR="00566413" w:rsidRPr="005D40AD">
        <w:rPr>
          <w:lang w:val="en-GB"/>
        </w:rPr>
        <w:t xml:space="preserve">ECtHR, </w:t>
      </w:r>
      <w:r w:rsidRPr="005D40AD">
        <w:rPr>
          <w:i/>
          <w:lang w:val="en-GB"/>
        </w:rPr>
        <w:t>Isayeva v. Russia</w:t>
      </w:r>
      <w:r w:rsidRPr="005D40AD">
        <w:rPr>
          <w:lang w:val="en-GB"/>
        </w:rPr>
        <w:t xml:space="preserve">, cited in § </w:t>
      </w:r>
      <w:r w:rsidRPr="005D40AD">
        <w:fldChar w:fldCharType="begin"/>
      </w:r>
      <w:r w:rsidRPr="005D40AD">
        <w:instrText xml:space="preserve"> REF _Ref366240125 \r \h  \* MERGEFORMAT </w:instrText>
      </w:r>
      <w:r w:rsidRPr="005D40AD">
        <w:fldChar w:fldCharType="separate"/>
      </w:r>
      <w:r w:rsidR="00AC127D" w:rsidRPr="00AC127D">
        <w:rPr>
          <w:lang w:val="en-GB"/>
        </w:rPr>
        <w:t>59</w:t>
      </w:r>
      <w:r w:rsidRPr="005D40AD">
        <w:fldChar w:fldCharType="end"/>
      </w:r>
      <w:r w:rsidRPr="005D40AD">
        <w:rPr>
          <w:lang w:val="en-GB"/>
        </w:rPr>
        <w:t xml:space="preserve"> above, §§ 211-214 and the cases cited therein</w:t>
      </w:r>
      <w:r w:rsidR="00566413" w:rsidRPr="005D40AD">
        <w:rPr>
          <w:lang w:val="en-GB"/>
        </w:rPr>
        <w:t>;</w:t>
      </w:r>
      <w:r w:rsidRPr="005D40AD">
        <w:rPr>
          <w:lang w:val="en-GB"/>
        </w:rPr>
        <w:t xml:space="preserve"> ECtHR [GC], </w:t>
      </w:r>
      <w:r w:rsidRPr="005D40AD">
        <w:rPr>
          <w:i/>
          <w:lang w:val="en-GB"/>
        </w:rPr>
        <w:t>Al-Skeini and Others v. United Kingdom</w:t>
      </w:r>
      <w:r w:rsidRPr="005D40AD">
        <w:rPr>
          <w:lang w:val="en-GB"/>
        </w:rPr>
        <w:t>, no. 55721/07, judgment of 7 July 2011, § 167, ECHR 2011</w:t>
      </w:r>
      <w:r w:rsidR="00423598" w:rsidRPr="005D40AD">
        <w:rPr>
          <w:lang w:val="en-GB"/>
        </w:rPr>
        <w:t xml:space="preserve">, </w:t>
      </w:r>
      <w:proofErr w:type="spellStart"/>
      <w:r w:rsidR="00423598" w:rsidRPr="005D40AD">
        <w:rPr>
          <w:lang w:val="en-GB"/>
        </w:rPr>
        <w:t>ECtHR</w:t>
      </w:r>
      <w:proofErr w:type="spellEnd"/>
      <w:r w:rsidR="00423598" w:rsidRPr="005D40AD">
        <w:rPr>
          <w:lang w:val="en-GB"/>
        </w:rPr>
        <w:t xml:space="preserve"> [GC], </w:t>
      </w:r>
      <w:proofErr w:type="spellStart"/>
      <w:r w:rsidR="00423598" w:rsidRPr="005D40AD">
        <w:rPr>
          <w:i/>
          <w:lang w:val="en-GB"/>
        </w:rPr>
        <w:t>Mocanu</w:t>
      </w:r>
      <w:proofErr w:type="spellEnd"/>
      <w:r w:rsidR="00423598" w:rsidRPr="005D40AD">
        <w:rPr>
          <w:i/>
          <w:lang w:val="en-GB"/>
        </w:rPr>
        <w:t xml:space="preserve"> and Others v. Romania</w:t>
      </w:r>
      <w:r w:rsidR="00423598" w:rsidRPr="005D40AD">
        <w:rPr>
          <w:lang w:val="en-GB"/>
        </w:rPr>
        <w:t xml:space="preserve">, cited in § </w:t>
      </w:r>
      <w:r w:rsidR="00423598" w:rsidRPr="005D40AD">
        <w:rPr>
          <w:lang w:val="en-GB"/>
        </w:rPr>
        <w:fldChar w:fldCharType="begin"/>
      </w:r>
      <w:r w:rsidR="00423598" w:rsidRPr="005D40AD">
        <w:rPr>
          <w:lang w:val="en-GB"/>
        </w:rPr>
        <w:instrText xml:space="preserve"> REF _Ref401245061 \r \h  \* MERGEFORMAT </w:instrText>
      </w:r>
      <w:r w:rsidR="00423598" w:rsidRPr="005D40AD">
        <w:rPr>
          <w:lang w:val="en-GB"/>
        </w:rPr>
      </w:r>
      <w:r w:rsidR="00423598" w:rsidRPr="005D40AD">
        <w:rPr>
          <w:lang w:val="en-GB"/>
        </w:rPr>
        <w:fldChar w:fldCharType="separate"/>
      </w:r>
      <w:r w:rsidR="00AC127D">
        <w:rPr>
          <w:lang w:val="en-GB"/>
        </w:rPr>
        <w:t>58</w:t>
      </w:r>
      <w:r w:rsidR="00423598" w:rsidRPr="005D40AD">
        <w:rPr>
          <w:lang w:val="en-GB"/>
        </w:rPr>
        <w:fldChar w:fldCharType="end"/>
      </w:r>
      <w:r w:rsidR="00423598" w:rsidRPr="005D40AD">
        <w:rPr>
          <w:lang w:val="en-GB"/>
        </w:rPr>
        <w:t xml:space="preserve"> above, at § 324</w:t>
      </w:r>
      <w:r w:rsidRPr="005D40AD">
        <w:rPr>
          <w:lang w:val="en-GB"/>
        </w:rPr>
        <w:t>).</w:t>
      </w:r>
      <w:bookmarkEnd w:id="59"/>
      <w:bookmarkEnd w:id="60"/>
    </w:p>
    <w:p w:rsidR="002437E9" w:rsidRPr="005D40AD" w:rsidRDefault="002437E9" w:rsidP="002437E9">
      <w:pPr>
        <w:pStyle w:val="ListParagraph"/>
        <w:rPr>
          <w:lang w:val="en-GB"/>
        </w:rPr>
      </w:pPr>
    </w:p>
    <w:p w:rsidR="003E3F85" w:rsidRPr="0099174E" w:rsidRDefault="002437E9" w:rsidP="002437E9">
      <w:pPr>
        <w:numPr>
          <w:ilvl w:val="0"/>
          <w:numId w:val="2"/>
        </w:numPr>
        <w:tabs>
          <w:tab w:val="left" w:pos="709"/>
        </w:tabs>
        <w:suppressAutoHyphens/>
        <w:autoSpaceDE w:val="0"/>
        <w:jc w:val="both"/>
        <w:rPr>
          <w:lang w:val="en-GB"/>
        </w:rPr>
      </w:pPr>
      <w:r w:rsidRPr="005D40AD">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BA69B4">
        <w:rPr>
          <w:lang w:val="en-GB"/>
        </w:rPr>
        <w:t xml:space="preserve">see: </w:t>
      </w:r>
      <w:r w:rsidR="00423598" w:rsidRPr="005D40AD">
        <w:rPr>
          <w:lang w:val="en-GB"/>
        </w:rPr>
        <w:t xml:space="preserve">ECtHR, </w:t>
      </w:r>
      <w:r w:rsidR="00993514" w:rsidRPr="005D40AD">
        <w:rPr>
          <w:i/>
          <w:iCs/>
          <w:lang w:val="en-GB"/>
        </w:rPr>
        <w:t>El-Masri v. “t</w:t>
      </w:r>
      <w:r w:rsidR="00713D84" w:rsidRPr="005D40AD">
        <w:rPr>
          <w:i/>
          <w:iCs/>
          <w:lang w:val="en-GB"/>
        </w:rPr>
        <w:t>he f</w:t>
      </w:r>
      <w:r w:rsidR="00423598" w:rsidRPr="005D40AD">
        <w:rPr>
          <w:i/>
          <w:iCs/>
          <w:lang w:val="en-GB"/>
        </w:rPr>
        <w:t>ormer Yugoslav Republic of Macedonia”</w:t>
      </w:r>
      <w:r w:rsidR="00423598" w:rsidRPr="005D40AD">
        <w:rPr>
          <w:lang w:val="en-GB"/>
        </w:rPr>
        <w:t xml:space="preserve">, cited in § </w:t>
      </w:r>
      <w:r w:rsidR="00423598" w:rsidRPr="005D40AD">
        <w:rPr>
          <w:lang w:val="en-GB"/>
        </w:rPr>
        <w:fldChar w:fldCharType="begin"/>
      </w:r>
      <w:r w:rsidR="00423598" w:rsidRPr="005D40AD">
        <w:rPr>
          <w:lang w:val="en-GB"/>
        </w:rPr>
        <w:instrText xml:space="preserve"> REF _Ref401245516 \r \h  \* MERGEFORMAT </w:instrText>
      </w:r>
      <w:r w:rsidR="00423598" w:rsidRPr="005D40AD">
        <w:rPr>
          <w:lang w:val="en-GB"/>
        </w:rPr>
      </w:r>
      <w:r w:rsidR="00423598" w:rsidRPr="005D40AD">
        <w:rPr>
          <w:lang w:val="en-GB"/>
        </w:rPr>
        <w:fldChar w:fldCharType="separate"/>
      </w:r>
      <w:r w:rsidR="00AC127D">
        <w:rPr>
          <w:lang w:val="en-GB"/>
        </w:rPr>
        <w:t>61</w:t>
      </w:r>
      <w:r w:rsidR="00423598" w:rsidRPr="005D40AD">
        <w:rPr>
          <w:lang w:val="en-GB"/>
        </w:rPr>
        <w:fldChar w:fldCharType="end"/>
      </w:r>
      <w:r w:rsidR="00423598" w:rsidRPr="005D40AD">
        <w:rPr>
          <w:lang w:val="en-GB"/>
        </w:rPr>
        <w:t xml:space="preserve"> above, </w:t>
      </w:r>
      <w:r w:rsidR="00430B65">
        <w:rPr>
          <w:lang w:val="en-GB"/>
        </w:rPr>
        <w:t xml:space="preserve">at </w:t>
      </w:r>
      <w:r w:rsidR="00423598" w:rsidRPr="005D40AD">
        <w:rPr>
          <w:lang w:val="en-GB"/>
        </w:rPr>
        <w:t>§ 191</w:t>
      </w:r>
      <w:r w:rsidRPr="005D40AD">
        <w:rPr>
          <w:lang w:val="en-GB"/>
        </w:rPr>
        <w:t xml:space="preserve">; </w:t>
      </w:r>
      <w:proofErr w:type="spellStart"/>
      <w:r w:rsidRPr="005D40AD">
        <w:rPr>
          <w:lang w:val="en-GB"/>
        </w:rPr>
        <w:t>ECtHR</w:t>
      </w:r>
      <w:proofErr w:type="spellEnd"/>
      <w:r w:rsidRPr="005D40AD">
        <w:rPr>
          <w:lang w:val="en-GB"/>
        </w:rPr>
        <w:t xml:space="preserve">, </w:t>
      </w:r>
      <w:r w:rsidRPr="005D40AD">
        <w:rPr>
          <w:i/>
          <w:iCs/>
          <w:lang w:val="en-GB"/>
        </w:rPr>
        <w:t xml:space="preserve">Al </w:t>
      </w:r>
      <w:proofErr w:type="spellStart"/>
      <w:r w:rsidRPr="005D40AD">
        <w:rPr>
          <w:i/>
          <w:iCs/>
          <w:lang w:val="en-GB"/>
        </w:rPr>
        <w:t>Nashiri</w:t>
      </w:r>
      <w:proofErr w:type="spellEnd"/>
      <w:r w:rsidRPr="005D40AD">
        <w:rPr>
          <w:i/>
          <w:iCs/>
          <w:lang w:val="en-GB"/>
        </w:rPr>
        <w:t xml:space="preserve"> v. Poland</w:t>
      </w:r>
      <w:r w:rsidRPr="005D40AD">
        <w:rPr>
          <w:lang w:val="en-GB"/>
        </w:rPr>
        <w:t xml:space="preserve">, no. 28761/11, judgment of 24 July 2014, §§ 495-496). </w:t>
      </w:r>
      <w:r w:rsidRPr="005D40AD">
        <w:t xml:space="preserve">United Nations bodies also </w:t>
      </w:r>
      <w:proofErr w:type="spellStart"/>
      <w:r w:rsidRPr="005D40AD">
        <w:t>recognise</w:t>
      </w:r>
      <w:proofErr w:type="spellEnd"/>
      <w:r w:rsidRPr="005D40AD">
        <w:t xml:space="preserv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5D40AD">
        <w:t xml:space="preserve"> see also HRC,  </w:t>
      </w:r>
      <w:proofErr w:type="spellStart"/>
      <w:r w:rsidRPr="005D40AD">
        <w:rPr>
          <w:i/>
          <w:iCs/>
        </w:rPr>
        <w:t>Schedko</w:t>
      </w:r>
      <w:proofErr w:type="spellEnd"/>
      <w:r w:rsidRPr="005D40AD">
        <w:rPr>
          <w:i/>
          <w:iCs/>
        </w:rPr>
        <w:t xml:space="preserve"> and </w:t>
      </w:r>
      <w:proofErr w:type="spellStart"/>
      <w:r w:rsidRPr="005D40AD">
        <w:rPr>
          <w:i/>
          <w:iCs/>
        </w:rPr>
        <w:t>Bondarenko</w:t>
      </w:r>
      <w:proofErr w:type="spellEnd"/>
      <w:r w:rsidRPr="005D40AD">
        <w:rPr>
          <w:i/>
          <w:iCs/>
        </w:rPr>
        <w:t xml:space="preserve"> v. Belarus</w:t>
      </w:r>
      <w:r w:rsidRPr="005D40AD">
        <w:t xml:space="preserve">, Communication no. 886/1999, views of 3 April 2003, § 10.2, CCPR/C/77/D/886/1999; HRC, </w:t>
      </w:r>
      <w:r w:rsidRPr="005D40AD">
        <w:rPr>
          <w:i/>
          <w:iCs/>
        </w:rPr>
        <w:t xml:space="preserve">Mariam, Philippe, </w:t>
      </w:r>
      <w:proofErr w:type="spellStart"/>
      <w:r w:rsidRPr="005D40AD">
        <w:rPr>
          <w:i/>
          <w:iCs/>
        </w:rPr>
        <w:t>Auguste</w:t>
      </w:r>
      <w:proofErr w:type="spellEnd"/>
      <w:r w:rsidRPr="005D40AD">
        <w:rPr>
          <w:i/>
          <w:iCs/>
        </w:rPr>
        <w:t xml:space="preserve"> and Thomas </w:t>
      </w:r>
      <w:proofErr w:type="spellStart"/>
      <w:r w:rsidRPr="005D40AD">
        <w:rPr>
          <w:i/>
          <w:iCs/>
        </w:rPr>
        <w:t>Sankara</w:t>
      </w:r>
      <w:proofErr w:type="spellEnd"/>
      <w:r w:rsidRPr="005D40AD">
        <w:rPr>
          <w:i/>
          <w:iCs/>
        </w:rPr>
        <w:t xml:space="preserve"> v. Burkina Faso</w:t>
      </w:r>
      <w:r w:rsidRPr="005D40AD">
        <w:t>, Communication no. 1159/2003, views of 8 March 2006</w:t>
      </w:r>
      <w:r w:rsidRPr="005D40AD">
        <w:rPr>
          <w:sz w:val="27"/>
          <w:szCs w:val="27"/>
          <w:shd w:val="clear" w:color="auto" w:fill="FFFFFF"/>
        </w:rPr>
        <w:t xml:space="preserve">, </w:t>
      </w:r>
      <w:r w:rsidRPr="005D40AD">
        <w:t xml:space="preserve">§ 10.2, CCPR/C/86/D/1159/2003; UN Human Rights Council, Resolutions 9/11 and 12/12: Right to the </w:t>
      </w:r>
      <w:r w:rsidRPr="005D40AD">
        <w:rPr>
          <w:lang w:val="en-GB"/>
        </w:rPr>
        <w:t>Truth</w:t>
      </w:r>
      <w:r w:rsidRPr="005D40AD">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5D40AD">
        <w:rPr>
          <w:i/>
          <w:iCs/>
        </w:rPr>
        <w:t>Framework Principles for securing the accountability of public officials for gross and systematic human rights violations committed in the context of State co</w:t>
      </w:r>
      <w:r w:rsidRPr="0099174E">
        <w:rPr>
          <w:i/>
          <w:iCs/>
        </w:rPr>
        <w:t>unter-terrorist initiatives</w:t>
      </w:r>
      <w:r w:rsidRPr="0099174E">
        <w:t>, UN Document A/HRC/22/52, 1 March 2013, § 23-26).</w:t>
      </w:r>
    </w:p>
    <w:p w:rsidR="002C60F4" w:rsidRPr="0099174E" w:rsidRDefault="002C60F4" w:rsidP="002437E9">
      <w:pPr>
        <w:tabs>
          <w:tab w:val="left" w:pos="709"/>
        </w:tabs>
        <w:suppressAutoHyphens/>
        <w:autoSpaceDE w:val="0"/>
        <w:ind w:left="360"/>
        <w:jc w:val="both"/>
        <w:rPr>
          <w:lang w:val="en-GB"/>
        </w:rPr>
      </w:pPr>
    </w:p>
    <w:p w:rsidR="003E3F85" w:rsidRPr="0099174E" w:rsidRDefault="003E3F85" w:rsidP="0099174E">
      <w:pPr>
        <w:contextualSpacing/>
        <w:jc w:val="both"/>
        <w:rPr>
          <w:i/>
          <w:lang w:val="en-GB"/>
        </w:rPr>
      </w:pPr>
      <w:r w:rsidRPr="0099174E">
        <w:rPr>
          <w:i/>
          <w:lang w:val="en-GB"/>
        </w:rPr>
        <w:t>Applicability of Article 2 to the Kosovo context</w:t>
      </w:r>
    </w:p>
    <w:p w:rsidR="003E3F85" w:rsidRPr="0099174E" w:rsidRDefault="003E3F85" w:rsidP="003E3F85">
      <w:pPr>
        <w:pStyle w:val="ListParagraph"/>
        <w:tabs>
          <w:tab w:val="num" w:pos="567"/>
        </w:tabs>
        <w:ind w:left="567" w:hanging="425"/>
        <w:rPr>
          <w:lang w:val="en-GB" w:eastAsia="en-US"/>
        </w:rPr>
      </w:pPr>
    </w:p>
    <w:p w:rsidR="003E3F85" w:rsidRPr="005D40AD" w:rsidRDefault="003E3F85" w:rsidP="000E2607">
      <w:pPr>
        <w:numPr>
          <w:ilvl w:val="0"/>
          <w:numId w:val="2"/>
        </w:numPr>
        <w:tabs>
          <w:tab w:val="left" w:pos="709"/>
        </w:tabs>
        <w:suppressAutoHyphens/>
        <w:autoSpaceDE w:val="0"/>
        <w:jc w:val="both"/>
        <w:rPr>
          <w:lang w:val="en-GB"/>
        </w:rPr>
      </w:pPr>
      <w:bookmarkStart w:id="61" w:name="_Ref366163783"/>
      <w:r w:rsidRPr="005D40AD">
        <w:rPr>
          <w:lang w:val="en-GB"/>
        </w:rPr>
        <w:t xml:space="preserve">The Panel is conscious that </w:t>
      </w:r>
      <w:r w:rsidR="008B2B37" w:rsidRPr="005D40AD">
        <w:rPr>
          <w:lang w:val="en-GB"/>
        </w:rPr>
        <w:t xml:space="preserve">the abduction and killing of </w:t>
      </w:r>
      <w:proofErr w:type="spellStart"/>
      <w:r w:rsidR="003443B0">
        <w:t>Mr</w:t>
      </w:r>
      <w:proofErr w:type="spellEnd"/>
      <w:r w:rsidR="003443B0">
        <w:t xml:space="preserve"> </w:t>
      </w:r>
      <w:proofErr w:type="spellStart"/>
      <w:r w:rsidR="003443B0">
        <w:t>Momčilo</w:t>
      </w:r>
      <w:proofErr w:type="spellEnd"/>
      <w:r w:rsidR="003443B0">
        <w:t xml:space="preserve"> </w:t>
      </w:r>
      <w:proofErr w:type="spellStart"/>
      <w:r w:rsidR="003443B0">
        <w:t>Joksimović</w:t>
      </w:r>
      <w:proofErr w:type="spellEnd"/>
      <w:r w:rsidR="00EC2030" w:rsidRPr="005D40AD">
        <w:rPr>
          <w:lang w:val="en-GB"/>
        </w:rPr>
        <w:t xml:space="preserve"> </w:t>
      </w:r>
      <w:r w:rsidR="00690929">
        <w:rPr>
          <w:lang w:val="en-GB"/>
        </w:rPr>
        <w:t xml:space="preserve">shortly </w:t>
      </w:r>
      <w:r w:rsidR="00E92DED" w:rsidRPr="005D40AD">
        <w:rPr>
          <w:lang w:val="en-GB"/>
        </w:rPr>
        <w:t>after</w:t>
      </w:r>
      <w:r w:rsidR="003A658C" w:rsidRPr="005D40AD">
        <w:rPr>
          <w:lang w:val="en-GB"/>
        </w:rPr>
        <w:t xml:space="preserve"> </w:t>
      </w:r>
      <w:r w:rsidRPr="005D40AD">
        <w:rPr>
          <w:lang w:val="en-GB"/>
        </w:rPr>
        <w:t>the deployment of UNMIK in Kosovo, when crime, violence and insecurity were rife</w:t>
      </w:r>
      <w:bookmarkEnd w:id="61"/>
      <w:r w:rsidR="007719C7">
        <w:rPr>
          <w:lang w:val="en-GB"/>
        </w:rPr>
        <w:t>.</w:t>
      </w:r>
    </w:p>
    <w:p w:rsidR="003E3F85" w:rsidRPr="005D40AD" w:rsidRDefault="003E3F85" w:rsidP="003E3F85">
      <w:pPr>
        <w:pStyle w:val="ListParagraph"/>
        <w:ind w:left="567"/>
        <w:contextualSpacing/>
        <w:jc w:val="both"/>
        <w:rPr>
          <w:lang w:val="en-GB" w:eastAsia="en-US"/>
        </w:rPr>
      </w:pPr>
    </w:p>
    <w:p w:rsidR="003E3F85" w:rsidRPr="005D40AD" w:rsidRDefault="003E3F85" w:rsidP="000E2607">
      <w:pPr>
        <w:numPr>
          <w:ilvl w:val="0"/>
          <w:numId w:val="2"/>
        </w:numPr>
        <w:tabs>
          <w:tab w:val="left" w:pos="709"/>
        </w:tabs>
        <w:suppressAutoHyphens/>
        <w:autoSpaceDE w:val="0"/>
        <w:jc w:val="both"/>
        <w:rPr>
          <w:lang w:val="en-GB"/>
        </w:rPr>
      </w:pPr>
      <w:r w:rsidRPr="005D40AD">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5D40AD" w:rsidRDefault="003E3F85" w:rsidP="003E3F85">
      <w:pPr>
        <w:pStyle w:val="ListParagraph"/>
        <w:ind w:left="567"/>
        <w:contextualSpacing/>
        <w:jc w:val="both"/>
        <w:rPr>
          <w:lang w:val="en-GB" w:eastAsia="en-US"/>
        </w:rPr>
      </w:pPr>
    </w:p>
    <w:p w:rsidR="003E3F85" w:rsidRPr="005D40AD" w:rsidRDefault="003E3F85" w:rsidP="000E2607">
      <w:pPr>
        <w:numPr>
          <w:ilvl w:val="0"/>
          <w:numId w:val="2"/>
        </w:numPr>
        <w:tabs>
          <w:tab w:val="left" w:pos="709"/>
        </w:tabs>
        <w:suppressAutoHyphens/>
        <w:autoSpaceDE w:val="0"/>
        <w:jc w:val="both"/>
        <w:rPr>
          <w:lang w:val="en-GB"/>
        </w:rPr>
      </w:pPr>
      <w:r w:rsidRPr="005D40AD">
        <w:rPr>
          <w:lang w:val="en-GB"/>
        </w:rPr>
        <w:t xml:space="preserve">The </w:t>
      </w:r>
      <w:r w:rsidRPr="005D40AD">
        <w:rPr>
          <w:lang w:val="en-GB" w:eastAsia="nl-BE"/>
        </w:rPr>
        <w:t>Panel</w:t>
      </w:r>
      <w:r w:rsidRPr="005D40AD">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5D40AD" w:rsidRDefault="003E3F85" w:rsidP="003E3F85">
      <w:pPr>
        <w:pStyle w:val="ListParagraph"/>
        <w:ind w:left="567" w:hanging="425"/>
        <w:rPr>
          <w:lang w:val="en-GB" w:eastAsia="en-US"/>
        </w:rPr>
      </w:pPr>
    </w:p>
    <w:p w:rsidR="003E3F85" w:rsidRPr="005D40AD" w:rsidRDefault="003E3F85" w:rsidP="000E2607">
      <w:pPr>
        <w:numPr>
          <w:ilvl w:val="0"/>
          <w:numId w:val="2"/>
        </w:numPr>
        <w:tabs>
          <w:tab w:val="left" w:pos="709"/>
        </w:tabs>
        <w:suppressAutoHyphens/>
        <w:autoSpaceDE w:val="0"/>
        <w:jc w:val="both"/>
        <w:rPr>
          <w:lang w:val="en-GB"/>
        </w:rPr>
      </w:pPr>
      <w:r w:rsidRPr="005D40AD">
        <w:rPr>
          <w:lang w:val="en-GB"/>
        </w:rPr>
        <w:t xml:space="preserve">As regards </w:t>
      </w:r>
      <w:r w:rsidRPr="005D40AD">
        <w:t>t</w:t>
      </w:r>
      <w:r w:rsidRPr="005D40AD">
        <w:rPr>
          <w:lang w:val="en-GB"/>
        </w:rPr>
        <w:t xml:space="preserve">he applicability of Article 2 to UNMIK, the Panel recalls </w:t>
      </w:r>
      <w:r w:rsidRPr="005D40AD">
        <w:rPr>
          <w:lang w:val="en-GB" w:eastAsia="nl-BE"/>
        </w:rPr>
        <w:t xml:space="preserve">that with the adoption of the UNMIK Regulation No. 1999/1 on 25 July 1999 UNMIK undertook an obligation to observe internationally recognised human rights standards in exercising its </w:t>
      </w:r>
      <w:r w:rsidRPr="005D40AD">
        <w:rPr>
          <w:lang w:val="en-GB"/>
        </w:rPr>
        <w:t>functions</w:t>
      </w:r>
      <w:r w:rsidRPr="005D40AD">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5D40A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5D40AD">
        <w:rPr>
          <w:i/>
          <w:lang w:val="en-GB"/>
        </w:rPr>
        <w:t>Milogorić</w:t>
      </w:r>
      <w:r w:rsidRPr="005D40AD">
        <w:rPr>
          <w:lang w:val="en-GB"/>
        </w:rPr>
        <w:t xml:space="preserve"> </w:t>
      </w:r>
      <w:r w:rsidRPr="005D40AD">
        <w:rPr>
          <w:i/>
          <w:lang w:val="en-GB"/>
        </w:rPr>
        <w:t>and Others,</w:t>
      </w:r>
      <w:r w:rsidRPr="005D40AD">
        <w:rPr>
          <w:lang w:val="en-GB"/>
        </w:rPr>
        <w:t xml:space="preserve"> nos. 38/08 and others, opinion of 24 March 2011, § 44; </w:t>
      </w:r>
      <w:r w:rsidRPr="005D40AD">
        <w:rPr>
          <w:i/>
          <w:lang w:val="en-GB"/>
        </w:rPr>
        <w:t>Berisha and Others,</w:t>
      </w:r>
      <w:r w:rsidRPr="005D40AD">
        <w:rPr>
          <w:lang w:val="en-GB"/>
        </w:rPr>
        <w:t xml:space="preserve"> nos. 27/08 and others, opinion of 23 February 2011,</w:t>
      </w:r>
      <w:r w:rsidRPr="005D40AD">
        <w:rPr>
          <w:i/>
          <w:lang w:val="en-GB"/>
        </w:rPr>
        <w:t xml:space="preserve"> </w:t>
      </w:r>
      <w:r w:rsidRPr="005D40AD">
        <w:rPr>
          <w:lang w:val="en-GB"/>
        </w:rPr>
        <w:t xml:space="preserve">§ 25; </w:t>
      </w:r>
      <w:r w:rsidRPr="005D40AD">
        <w:rPr>
          <w:i/>
          <w:lang w:val="en-GB"/>
        </w:rPr>
        <w:t>Lalić and Others</w:t>
      </w:r>
      <w:r w:rsidRPr="005D40AD">
        <w:rPr>
          <w:lang w:val="en-GB"/>
        </w:rPr>
        <w:t>, nos. 09/08 and others, opinion of 9 June 2012, § 22).</w:t>
      </w:r>
    </w:p>
    <w:p w:rsidR="003E3F85" w:rsidRPr="005D40AD" w:rsidRDefault="003E3F85" w:rsidP="003E3F85">
      <w:pPr>
        <w:pStyle w:val="ListParagraph"/>
        <w:rPr>
          <w:lang w:val="en-GB"/>
        </w:rPr>
      </w:pPr>
    </w:p>
    <w:p w:rsidR="003E3F85" w:rsidRPr="005D40AD" w:rsidRDefault="003E3F85" w:rsidP="000E2607">
      <w:pPr>
        <w:numPr>
          <w:ilvl w:val="0"/>
          <w:numId w:val="2"/>
        </w:numPr>
        <w:tabs>
          <w:tab w:val="left" w:pos="709"/>
        </w:tabs>
        <w:suppressAutoHyphens/>
        <w:autoSpaceDE w:val="0"/>
        <w:jc w:val="both"/>
        <w:rPr>
          <w:lang w:val="en-GB"/>
        </w:rPr>
      </w:pPr>
      <w:bookmarkStart w:id="62" w:name="_Ref366241246"/>
      <w:r w:rsidRPr="005D40AD">
        <w:rPr>
          <w:lang w:val="en-GB"/>
        </w:rPr>
        <w:t xml:space="preserve">Concerning the applicability of Article 2 to situations of conflict or generalised violence, the Panel </w:t>
      </w:r>
      <w:r w:rsidRPr="005D40AD">
        <w:t>recalls</w:t>
      </w:r>
      <w:r w:rsidRPr="005D40AD">
        <w:rPr>
          <w:lang w:val="en-GB"/>
        </w:rPr>
        <w:t xml:space="preserve"> that the European Court of Human Rights has established the applicability of Article 2 to post-conflict situations, including in countries of the former Yugoslavia (see, among other examples, ECtHR, </w:t>
      </w:r>
      <w:r w:rsidRPr="005D40AD">
        <w:rPr>
          <w:i/>
          <w:lang w:val="en-GB"/>
        </w:rPr>
        <w:t>Palić v. Bosnia and Herzegovina,</w:t>
      </w:r>
      <w:r w:rsidRPr="005D40AD">
        <w:rPr>
          <w:lang w:val="en-GB"/>
        </w:rPr>
        <w:t xml:space="preserve"> cited in § </w:t>
      </w:r>
      <w:r w:rsidRPr="005D40AD">
        <w:fldChar w:fldCharType="begin"/>
      </w:r>
      <w:r w:rsidRPr="005D40AD">
        <w:instrText xml:space="preserve"> REF _Ref366239979 \r \h  \* MERGEFORMAT </w:instrText>
      </w:r>
      <w:r w:rsidRPr="005D40AD">
        <w:fldChar w:fldCharType="separate"/>
      </w:r>
      <w:r w:rsidR="00AC127D" w:rsidRPr="00AC127D">
        <w:rPr>
          <w:lang w:val="en-GB"/>
        </w:rPr>
        <w:t>60</w:t>
      </w:r>
      <w:r w:rsidRPr="005D40AD">
        <w:fldChar w:fldCharType="end"/>
      </w:r>
      <w:r w:rsidRPr="005D40AD">
        <w:rPr>
          <w:lang w:val="en-GB"/>
        </w:rPr>
        <w:t xml:space="preserve"> above, and </w:t>
      </w:r>
      <w:proofErr w:type="spellStart"/>
      <w:r w:rsidRPr="005D40AD">
        <w:rPr>
          <w:lang w:val="en-GB"/>
        </w:rPr>
        <w:t>ECtHR</w:t>
      </w:r>
      <w:proofErr w:type="spellEnd"/>
      <w:r w:rsidRPr="005D40AD">
        <w:rPr>
          <w:lang w:val="en-GB"/>
        </w:rPr>
        <w:t xml:space="preserve">, </w:t>
      </w:r>
      <w:r w:rsidRPr="005D40AD">
        <w:rPr>
          <w:i/>
          <w:lang w:val="en-GB"/>
        </w:rPr>
        <w:t>Jularić v. Croatia</w:t>
      </w:r>
      <w:r w:rsidRPr="005D40AD">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5D40AD">
        <w:rPr>
          <w:i/>
          <w:lang w:val="en-GB"/>
        </w:rPr>
        <w:t>Al-Skeini and Others v. the United Kingdom</w:t>
      </w:r>
      <w:r w:rsidRPr="005D40AD">
        <w:rPr>
          <w:lang w:val="en-GB"/>
        </w:rPr>
        <w:t xml:space="preserve">, cited in § </w:t>
      </w:r>
      <w:r w:rsidRPr="005D40AD">
        <w:fldChar w:fldCharType="begin"/>
      </w:r>
      <w:r w:rsidRPr="005D40AD">
        <w:instrText xml:space="preserve"> REF _Ref366240205 \r \h  \* MERGEFORMAT </w:instrText>
      </w:r>
      <w:r w:rsidRPr="005D40AD">
        <w:fldChar w:fldCharType="separate"/>
      </w:r>
      <w:r w:rsidR="00AC127D" w:rsidRPr="00AC127D">
        <w:rPr>
          <w:lang w:val="en-GB"/>
        </w:rPr>
        <w:t>64</w:t>
      </w:r>
      <w:r w:rsidRPr="005D40AD">
        <w:fldChar w:fldCharType="end"/>
      </w:r>
      <w:r w:rsidRPr="005D40AD">
        <w:rPr>
          <w:lang w:val="en-GB"/>
        </w:rPr>
        <w:t xml:space="preserve"> above, at § 164; see also ECtHR, </w:t>
      </w:r>
      <w:r w:rsidRPr="005D40AD">
        <w:rPr>
          <w:i/>
          <w:lang w:val="en-GB"/>
        </w:rPr>
        <w:t>Güleç v. Turkey</w:t>
      </w:r>
      <w:r w:rsidRPr="005D40AD">
        <w:rPr>
          <w:lang w:val="en-GB"/>
        </w:rPr>
        <w:t>, judgment of 27 July 1998, § 81, Reports 1998-IV; ECtHR,</w:t>
      </w:r>
      <w:r w:rsidRPr="005D40AD">
        <w:rPr>
          <w:i/>
          <w:lang w:val="en-GB"/>
        </w:rPr>
        <w:t xml:space="preserve"> Ergi v. Turkey</w:t>
      </w:r>
      <w:r w:rsidRPr="005D40AD">
        <w:rPr>
          <w:lang w:val="en-GB"/>
        </w:rPr>
        <w:t>, judgment of 28 July 1998, §§ 79 and 82, Reports 1998-IV; ECtHR,</w:t>
      </w:r>
      <w:r w:rsidRPr="005D40AD">
        <w:rPr>
          <w:i/>
          <w:lang w:val="en-GB"/>
        </w:rPr>
        <w:t xml:space="preserve"> Ahmet Özkan and Others v. Turkey</w:t>
      </w:r>
      <w:r w:rsidRPr="005D40AD">
        <w:rPr>
          <w:lang w:val="en-GB"/>
        </w:rPr>
        <w:t xml:space="preserve">, cited in § </w:t>
      </w:r>
      <w:r w:rsidRPr="005D40AD">
        <w:fldChar w:fldCharType="begin"/>
      </w:r>
      <w:r w:rsidRPr="005D40AD">
        <w:instrText xml:space="preserve"> REF _Ref366240125 \r \h  \* MERGEFORMAT </w:instrText>
      </w:r>
      <w:r w:rsidRPr="005D40AD">
        <w:fldChar w:fldCharType="separate"/>
      </w:r>
      <w:r w:rsidR="00AC127D" w:rsidRPr="00AC127D">
        <w:rPr>
          <w:lang w:val="en-GB"/>
        </w:rPr>
        <w:t>59</w:t>
      </w:r>
      <w:r w:rsidRPr="005D40AD">
        <w:fldChar w:fldCharType="end"/>
      </w:r>
      <w:r w:rsidRPr="005D40AD">
        <w:rPr>
          <w:lang w:val="en-GB"/>
        </w:rPr>
        <w:t xml:space="preserve"> above, at §§ 85-90, 309-320 and 326-330;</w:t>
      </w:r>
      <w:r w:rsidRPr="005D40AD">
        <w:rPr>
          <w:i/>
          <w:lang w:val="en-GB"/>
        </w:rPr>
        <w:t xml:space="preserve"> </w:t>
      </w:r>
      <w:r w:rsidR="00B41BE6" w:rsidRPr="005D40AD">
        <w:rPr>
          <w:lang w:val="en-GB"/>
        </w:rPr>
        <w:t xml:space="preserve">ECtHR, </w:t>
      </w:r>
      <w:r w:rsidRPr="005D40AD">
        <w:rPr>
          <w:i/>
          <w:lang w:val="en-GB"/>
        </w:rPr>
        <w:t>Isayeva v. Russia</w:t>
      </w:r>
      <w:r w:rsidRPr="005D40AD">
        <w:rPr>
          <w:lang w:val="en-GB"/>
        </w:rPr>
        <w:t xml:space="preserve">, cited in § </w:t>
      </w:r>
      <w:r w:rsidRPr="005D40AD">
        <w:fldChar w:fldCharType="begin"/>
      </w:r>
      <w:r w:rsidRPr="005D40AD">
        <w:instrText xml:space="preserve"> REF _Ref366240125 \r \h  \* MERGEFORMAT </w:instrText>
      </w:r>
      <w:r w:rsidRPr="005D40AD">
        <w:fldChar w:fldCharType="separate"/>
      </w:r>
      <w:r w:rsidR="00AC127D" w:rsidRPr="00AC127D">
        <w:rPr>
          <w:lang w:val="en-GB"/>
        </w:rPr>
        <w:t>59</w:t>
      </w:r>
      <w:r w:rsidRPr="005D40AD">
        <w:fldChar w:fldCharType="end"/>
      </w:r>
      <w:r w:rsidRPr="005D40AD">
        <w:rPr>
          <w:lang w:val="en-GB"/>
        </w:rPr>
        <w:t xml:space="preserve"> above, at §§ 180 and 210; ECtHR, </w:t>
      </w:r>
      <w:r w:rsidRPr="005D40AD">
        <w:rPr>
          <w:i/>
          <w:lang w:val="en-GB"/>
        </w:rPr>
        <w:t>Kanlibaş v. Turkey</w:t>
      </w:r>
      <w:r w:rsidRPr="005D40AD">
        <w:rPr>
          <w:lang w:val="en-GB"/>
        </w:rPr>
        <w:t>, no. 32444/96, judgment of 8 December 2005, §§ 39-51).</w:t>
      </w:r>
      <w:bookmarkEnd w:id="62"/>
      <w:r w:rsidRPr="005D40AD">
        <w:rPr>
          <w:lang w:val="en-GB"/>
        </w:rPr>
        <w:t xml:space="preserve"> </w:t>
      </w:r>
    </w:p>
    <w:p w:rsidR="003E3F85" w:rsidRPr="005D40AD" w:rsidRDefault="003E3F85" w:rsidP="003E3F85">
      <w:pPr>
        <w:pStyle w:val="ListParagraph"/>
        <w:suppressAutoHyphens w:val="0"/>
        <w:ind w:left="567"/>
        <w:contextualSpacing/>
        <w:jc w:val="both"/>
        <w:rPr>
          <w:lang w:val="en-GB" w:eastAsia="en-US"/>
        </w:rPr>
      </w:pPr>
    </w:p>
    <w:p w:rsidR="003E3F85" w:rsidRPr="005D40AD" w:rsidRDefault="003E3F85" w:rsidP="000E2607">
      <w:pPr>
        <w:numPr>
          <w:ilvl w:val="0"/>
          <w:numId w:val="2"/>
        </w:numPr>
        <w:tabs>
          <w:tab w:val="left" w:pos="709"/>
        </w:tabs>
        <w:suppressAutoHyphens/>
        <w:autoSpaceDE w:val="0"/>
        <w:jc w:val="both"/>
        <w:rPr>
          <w:lang w:val="en-GB"/>
        </w:rPr>
      </w:pPr>
      <w:bookmarkStart w:id="63" w:name="_Ref366241459"/>
      <w:r w:rsidRPr="005D40AD">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5D40AD">
        <w:t>may</w:t>
      </w:r>
      <w:r w:rsidRPr="005D40AD">
        <w:rPr>
          <w:lang w:val="en-GB"/>
        </w:rPr>
        <w:t xml:space="preserve"> compel the use of less effective measures of investigation or may cause an investigation t</w:t>
      </w:r>
      <w:r w:rsidR="00DD33CB" w:rsidRPr="005D40AD">
        <w:rPr>
          <w:lang w:val="en-GB"/>
        </w:rPr>
        <w:t>o be delayed” (</w:t>
      </w:r>
      <w:r w:rsidRPr="005D40AD">
        <w:rPr>
          <w:lang w:val="en-GB"/>
        </w:rPr>
        <w:t xml:space="preserve">ECtHR [GC], </w:t>
      </w:r>
      <w:r w:rsidRPr="005D40AD">
        <w:rPr>
          <w:i/>
          <w:lang w:val="en-GB"/>
        </w:rPr>
        <w:t xml:space="preserve">Al-Skeini and Others v. the United Kingdom, </w:t>
      </w:r>
      <w:r w:rsidRPr="005D40AD">
        <w:rPr>
          <w:lang w:val="en-GB"/>
        </w:rPr>
        <w:t>cited above, at §164;</w:t>
      </w:r>
      <w:r w:rsidRPr="005D40AD">
        <w:rPr>
          <w:i/>
          <w:lang w:val="en-GB"/>
        </w:rPr>
        <w:t xml:space="preserve"> </w:t>
      </w:r>
      <w:r w:rsidRPr="005D40AD">
        <w:rPr>
          <w:lang w:val="en-GB"/>
        </w:rPr>
        <w:t>ECtHR,</w:t>
      </w:r>
      <w:r w:rsidRPr="005D40AD">
        <w:rPr>
          <w:i/>
          <w:lang w:val="en-GB"/>
        </w:rPr>
        <w:t xml:space="preserve"> Bazorkina v. Russia</w:t>
      </w:r>
      <w:r w:rsidRPr="005D40A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5D40AD">
        <w:rPr>
          <w:i/>
          <w:lang w:val="en-GB"/>
        </w:rPr>
        <w:t>Kaya v. Turkey</w:t>
      </w:r>
      <w:r w:rsidRPr="005D40AD">
        <w:rPr>
          <w:lang w:val="en-GB"/>
        </w:rPr>
        <w:t xml:space="preserve">, cited in § </w:t>
      </w:r>
      <w:r w:rsidRPr="005D40AD">
        <w:fldChar w:fldCharType="begin"/>
      </w:r>
      <w:r w:rsidRPr="005D40AD">
        <w:instrText xml:space="preserve"> REF _Ref366239860 \r \h  \* MERGEFORMAT </w:instrText>
      </w:r>
      <w:r w:rsidRPr="005D40AD">
        <w:fldChar w:fldCharType="separate"/>
      </w:r>
      <w:r w:rsidR="00AC127D" w:rsidRPr="00AC127D">
        <w:rPr>
          <w:lang w:val="en-GB"/>
        </w:rPr>
        <w:t>57</w:t>
      </w:r>
      <w:r w:rsidRPr="005D40AD">
        <w:fldChar w:fldCharType="end"/>
      </w:r>
      <w:r w:rsidRPr="005D40AD">
        <w:rPr>
          <w:lang w:val="en-GB"/>
        </w:rPr>
        <w:t xml:space="preserve"> above, at §§ 86</w:t>
      </w:r>
      <w:r w:rsidRPr="005D40AD">
        <w:rPr>
          <w:lang w:val="en-GB"/>
        </w:rPr>
        <w:noBreakHyphen/>
        <w:t xml:space="preserve">92; ECtHR, </w:t>
      </w:r>
      <w:r w:rsidRPr="005D40AD">
        <w:rPr>
          <w:i/>
          <w:lang w:val="en-GB"/>
        </w:rPr>
        <w:t xml:space="preserve">Ergi v Turkey, </w:t>
      </w:r>
      <w:r w:rsidRPr="005D40AD">
        <w:rPr>
          <w:lang w:val="en-GB"/>
        </w:rPr>
        <w:t xml:space="preserve">cited above, at §§ 82-85; ECtHR [GC], </w:t>
      </w:r>
      <w:r w:rsidRPr="005D40AD">
        <w:rPr>
          <w:i/>
          <w:lang w:val="en-GB"/>
        </w:rPr>
        <w:t>Tanrıkulu v. Turkey</w:t>
      </w:r>
      <w:r w:rsidRPr="005D40AD">
        <w:rPr>
          <w:lang w:val="en-GB"/>
        </w:rPr>
        <w:t xml:space="preserve">, no. 23763/94, judgment of 8 July 1999, §§ 101-110, ECHR 1999-IV; ECtHR, </w:t>
      </w:r>
      <w:r w:rsidRPr="005D40AD">
        <w:rPr>
          <w:i/>
          <w:lang w:val="en-GB"/>
        </w:rPr>
        <w:t>Khashiyev and Akayeva v. Russia</w:t>
      </w:r>
      <w:r w:rsidRPr="005D40AD">
        <w:rPr>
          <w:lang w:val="en-GB"/>
        </w:rPr>
        <w:t xml:space="preserve">, nos. 57942/00 and 57945/00, judgment of 24 February 2005, §§ 156-166; ECtHR, </w:t>
      </w:r>
      <w:r w:rsidRPr="005D40AD">
        <w:rPr>
          <w:i/>
          <w:lang w:val="en-GB"/>
        </w:rPr>
        <w:t>Isayeva v. Russia</w:t>
      </w:r>
      <w:r w:rsidRPr="005D40AD">
        <w:rPr>
          <w:lang w:val="en-GB"/>
        </w:rPr>
        <w:t>, cited above, at §§ 215</w:t>
      </w:r>
      <w:r w:rsidRPr="005D40AD">
        <w:rPr>
          <w:lang w:val="en-GB"/>
        </w:rPr>
        <w:noBreakHyphen/>
        <w:t xml:space="preserve">224; ECtHR, </w:t>
      </w:r>
      <w:r w:rsidRPr="005D40AD">
        <w:rPr>
          <w:i/>
          <w:lang w:val="en-GB"/>
        </w:rPr>
        <w:t>Musayev and Others v. Russia</w:t>
      </w:r>
      <w:r w:rsidRPr="005D40AD">
        <w:rPr>
          <w:lang w:val="en-GB"/>
        </w:rPr>
        <w:t>, nos. 57941/00 and others, judgment of 26 July 2007, §§ 158-165).</w:t>
      </w:r>
      <w:bookmarkEnd w:id="63"/>
    </w:p>
    <w:p w:rsidR="003E3F85" w:rsidRPr="005D40AD" w:rsidRDefault="003E3F85" w:rsidP="003E3F85">
      <w:pPr>
        <w:pStyle w:val="ListParagraph"/>
        <w:suppressAutoHyphens w:val="0"/>
        <w:ind w:left="567"/>
        <w:contextualSpacing/>
        <w:jc w:val="both"/>
        <w:rPr>
          <w:lang w:val="en-GB" w:eastAsia="en-US"/>
        </w:rPr>
      </w:pPr>
    </w:p>
    <w:p w:rsidR="003E3F85" w:rsidRPr="005D40AD" w:rsidRDefault="003E3F85" w:rsidP="000E2607">
      <w:pPr>
        <w:numPr>
          <w:ilvl w:val="0"/>
          <w:numId w:val="2"/>
        </w:numPr>
        <w:tabs>
          <w:tab w:val="left" w:pos="709"/>
        </w:tabs>
        <w:suppressAutoHyphens/>
        <w:autoSpaceDE w:val="0"/>
        <w:jc w:val="both"/>
        <w:rPr>
          <w:lang w:val="en-GB"/>
        </w:rPr>
      </w:pPr>
      <w:bookmarkStart w:id="64" w:name="_Ref404685440"/>
      <w:r w:rsidRPr="005D40AD">
        <w:rPr>
          <w:lang w:val="en-GB"/>
        </w:rPr>
        <w:t xml:space="preserve">Similarly, the HRC has held that the right to life, including its procedural guarantees, shall be </w:t>
      </w:r>
      <w:r w:rsidRPr="005D40AD">
        <w:t>considered</w:t>
      </w:r>
      <w:r w:rsidRPr="005D40AD">
        <w:rPr>
          <w:lang w:val="en-GB"/>
        </w:rPr>
        <w:t xml:space="preserve"> as the supreme right from which no derogation is permitted even in time of public emergency which threatens the life of the nation (see HRC, General Comment No. 6, cited in § </w:t>
      </w:r>
      <w:r w:rsidR="00E879A0" w:rsidRPr="005D40AD">
        <w:fldChar w:fldCharType="begin"/>
      </w:r>
      <w:r w:rsidR="00E879A0" w:rsidRPr="005D40AD">
        <w:rPr>
          <w:lang w:val="en-GB"/>
        </w:rPr>
        <w:instrText xml:space="preserve"> REF _Ref412809772 \r \h </w:instrText>
      </w:r>
      <w:r w:rsidR="00E879A0" w:rsidRPr="005D40AD">
        <w:instrText xml:space="preserve"> \* MERGEFORMAT </w:instrText>
      </w:r>
      <w:r w:rsidR="00E879A0" w:rsidRPr="005D40AD">
        <w:fldChar w:fldCharType="separate"/>
      </w:r>
      <w:r w:rsidR="00AC127D">
        <w:rPr>
          <w:lang w:val="en-GB"/>
        </w:rPr>
        <w:t>52</w:t>
      </w:r>
      <w:r w:rsidR="00E879A0" w:rsidRPr="005D40AD">
        <w:fldChar w:fldCharType="end"/>
      </w:r>
      <w:r w:rsidRPr="005D40AD">
        <w:rPr>
          <w:lang w:val="en-GB"/>
        </w:rPr>
        <w:t xml:space="preserve"> above, at § 1; HRC, </w:t>
      </w:r>
      <w:r w:rsidRPr="005D40AD">
        <w:rPr>
          <w:i/>
          <w:lang w:val="en-GB"/>
        </w:rPr>
        <w:t>Abubakar Amirov and Aïzan Amirova v. Russi</w:t>
      </w:r>
      <w:r w:rsidRPr="005D40AD">
        <w:rPr>
          <w:lang w:val="en-GB"/>
        </w:rPr>
        <w:t>a</w:t>
      </w:r>
      <w:r w:rsidRPr="005D40AD">
        <w:rPr>
          <w:i/>
          <w:lang w:val="en-GB"/>
        </w:rPr>
        <w:t>n Federation</w:t>
      </w:r>
      <w:r w:rsidRPr="005D40AD">
        <w:rPr>
          <w:lang w:val="en-GB"/>
        </w:rPr>
        <w:t xml:space="preserve">, communication no. 1447/2006, views of 22 April 2009, § 11.2, </w:t>
      </w:r>
      <w:r w:rsidRPr="005D40AD">
        <w:rPr>
          <w:bCs/>
          <w:lang w:val="en-GB"/>
        </w:rPr>
        <w:t>CCPR/C/95/D/1447/2006</w:t>
      </w:r>
      <w:r w:rsidRPr="005D40A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5" w:name="_Ref343611663"/>
      <w:bookmarkEnd w:id="64"/>
    </w:p>
    <w:p w:rsidR="003E3F85" w:rsidRPr="005D40AD" w:rsidRDefault="003E3F85" w:rsidP="003E3F85">
      <w:pPr>
        <w:pStyle w:val="ListParagraph"/>
        <w:rPr>
          <w:lang w:val="en-GB"/>
        </w:rPr>
      </w:pPr>
    </w:p>
    <w:p w:rsidR="003E3F85" w:rsidRPr="005D40AD" w:rsidRDefault="003E3F85" w:rsidP="000E2607">
      <w:pPr>
        <w:numPr>
          <w:ilvl w:val="0"/>
          <w:numId w:val="2"/>
        </w:numPr>
        <w:tabs>
          <w:tab w:val="left" w:pos="709"/>
        </w:tabs>
        <w:suppressAutoHyphens/>
        <w:autoSpaceDE w:val="0"/>
        <w:jc w:val="both"/>
        <w:rPr>
          <w:lang w:val="en-GB"/>
        </w:rPr>
      </w:pPr>
      <w:bookmarkStart w:id="66" w:name="_Ref414025885"/>
      <w:r w:rsidRPr="005D40AD">
        <w:rPr>
          <w:lang w:val="en-GB"/>
        </w:rPr>
        <w:t xml:space="preserve">The Panel appreciates the difficulties encountered by UNMIK during the first phase of its </w:t>
      </w:r>
      <w:r w:rsidRPr="005D40AD">
        <w:t>deployment</w:t>
      </w:r>
      <w:r w:rsidRPr="005D40AD">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5D40AD">
        <w:rPr>
          <w:i/>
          <w:lang w:val="en-GB"/>
        </w:rPr>
        <w:t>mutatis mutandis</w:t>
      </w:r>
      <w:r w:rsidRPr="005D40AD">
        <w:rPr>
          <w:lang w:val="en-GB"/>
        </w:rPr>
        <w:t xml:space="preserve">, ECtHR, </w:t>
      </w:r>
      <w:r w:rsidRPr="005D40AD">
        <w:rPr>
          <w:i/>
          <w:lang w:val="en-GB"/>
        </w:rPr>
        <w:t>R.R. and Others v. Hungary</w:t>
      </w:r>
      <w:r w:rsidRPr="005D40AD">
        <w:rPr>
          <w:lang w:val="en-GB"/>
        </w:rPr>
        <w:t xml:space="preserve">, no. 19400/11, judgment of 4 December 2012, §§ 28-32), as well as to consider the special vulnerability of displaced persons in post-conflict situations (see ECtHR [GC], </w:t>
      </w:r>
      <w:r w:rsidRPr="005D40AD">
        <w:rPr>
          <w:i/>
          <w:lang w:val="en-GB"/>
        </w:rPr>
        <w:t xml:space="preserve">Sargsyan v. Azerbaijan, </w:t>
      </w:r>
      <w:r w:rsidRPr="005D40AD">
        <w:rPr>
          <w:lang w:val="en-GB"/>
        </w:rPr>
        <w:t xml:space="preserve">no. 40167/06, decision of 14 December 2011, § 145; and ECtHR [GC], </w:t>
      </w:r>
      <w:r w:rsidRPr="005D40AD">
        <w:rPr>
          <w:i/>
          <w:lang w:val="en-GB"/>
        </w:rPr>
        <w:t>Chiragov and Others v. Armenia</w:t>
      </w:r>
      <w:r w:rsidRPr="005D40AD">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5D40AD">
        <w:fldChar w:fldCharType="begin"/>
      </w:r>
      <w:r w:rsidRPr="005D40AD">
        <w:instrText xml:space="preserve"> REF _Ref346123767 \r \h  \* MERGEFORMAT </w:instrText>
      </w:r>
      <w:r w:rsidRPr="005D40AD">
        <w:fldChar w:fldCharType="separate"/>
      </w:r>
      <w:r w:rsidR="00AC127D" w:rsidRPr="00AC127D">
        <w:rPr>
          <w:lang w:val="en-GB"/>
        </w:rPr>
        <w:t>17</w:t>
      </w:r>
      <w:r w:rsidRPr="005D40AD">
        <w:fldChar w:fldCharType="end"/>
      </w:r>
      <w:r w:rsidRPr="005D40AD">
        <w:rPr>
          <w:lang w:val="en-GB"/>
        </w:rPr>
        <w:t xml:space="preserve"> above).</w:t>
      </w:r>
      <w:bookmarkEnd w:id="65"/>
      <w:bookmarkEnd w:id="66"/>
    </w:p>
    <w:p w:rsidR="003E3F85" w:rsidRPr="005D40AD" w:rsidRDefault="003E3F85" w:rsidP="003E3F85">
      <w:pPr>
        <w:pStyle w:val="ListParagraph"/>
        <w:suppressAutoHyphens w:val="0"/>
        <w:ind w:left="567"/>
        <w:contextualSpacing/>
        <w:jc w:val="both"/>
        <w:rPr>
          <w:lang w:val="en-GB" w:eastAsia="en-US"/>
        </w:rPr>
      </w:pPr>
    </w:p>
    <w:p w:rsidR="003E3F85" w:rsidRPr="005D40AD" w:rsidRDefault="003E3F85" w:rsidP="000E2607">
      <w:pPr>
        <w:numPr>
          <w:ilvl w:val="0"/>
          <w:numId w:val="2"/>
        </w:numPr>
        <w:tabs>
          <w:tab w:val="left" w:pos="709"/>
        </w:tabs>
        <w:suppressAutoHyphens/>
        <w:autoSpaceDE w:val="0"/>
        <w:jc w:val="both"/>
        <w:rPr>
          <w:rStyle w:val="sb8d990e2"/>
          <w:lang w:val="en-GB"/>
        </w:rPr>
      </w:pPr>
      <w:bookmarkStart w:id="67" w:name="_Ref366163789"/>
      <w:r w:rsidRPr="005D40AD">
        <w:rPr>
          <w:rStyle w:val="sb8d990e2"/>
          <w:lang w:val="en-GB"/>
        </w:rPr>
        <w:t xml:space="preserve">The Panel </w:t>
      </w:r>
      <w:r w:rsidRPr="005D40AD">
        <w:t>further</w:t>
      </w:r>
      <w:r w:rsidRPr="005D40AD">
        <w:rPr>
          <w:rStyle w:val="sb8d990e2"/>
          <w:lang w:val="en-GB"/>
        </w:rPr>
        <w:t xml:space="preserve"> notes that its task is not to review relevant practices or alleged obstacles to the conduct of effective investigations </w:t>
      </w:r>
      <w:r w:rsidRPr="005D40AD">
        <w:rPr>
          <w:rStyle w:val="s6b621b36"/>
          <w:i/>
          <w:lang w:val="en-GB"/>
        </w:rPr>
        <w:t xml:space="preserve">in </w:t>
      </w:r>
      <w:r w:rsidRPr="005D40AD">
        <w:rPr>
          <w:rStyle w:val="wordhighlighted"/>
          <w:i/>
          <w:lang w:val="en-GB"/>
        </w:rPr>
        <w:t>abstracto</w:t>
      </w:r>
      <w:r w:rsidRPr="005D40AD">
        <w:rPr>
          <w:rStyle w:val="sb8d990e2"/>
          <w:lang w:val="en-GB"/>
        </w:rPr>
        <w:t>, but only in relation to their specific </w:t>
      </w:r>
      <w:r w:rsidRPr="005D40AD">
        <w:t>application</w:t>
      </w:r>
      <w:r w:rsidRPr="005D40AD">
        <w:rPr>
          <w:rStyle w:val="sb8d990e2"/>
          <w:lang w:val="en-GB"/>
        </w:rPr>
        <w:t xml:space="preserve"> to the particular circumstances of a situation subject of a complaint before it (see ECtHR, </w:t>
      </w:r>
      <w:r w:rsidRPr="005D40AD">
        <w:rPr>
          <w:rStyle w:val="s6b621b36"/>
          <w:i/>
          <w:lang w:val="en-GB"/>
        </w:rPr>
        <w:t>Brogan and Others v. the United Kingdom</w:t>
      </w:r>
      <w:r w:rsidRPr="005D40AD">
        <w:rPr>
          <w:rStyle w:val="sb8d990e2"/>
          <w:lang w:val="en-GB"/>
        </w:rPr>
        <w:t xml:space="preserve">, </w:t>
      </w:r>
      <w:r w:rsidRPr="005D40AD">
        <w:rPr>
          <w:rStyle w:val="column01"/>
          <w:lang w:val="en-GB"/>
        </w:rPr>
        <w:t>judgment of</w:t>
      </w:r>
      <w:r w:rsidRPr="005D40AD">
        <w:rPr>
          <w:rStyle w:val="sb8d990e2"/>
          <w:lang w:val="en-GB"/>
        </w:rPr>
        <w:t xml:space="preserve"> 29 November 1988,</w:t>
      </w:r>
      <w:r w:rsidRPr="005D40AD">
        <w:rPr>
          <w:lang w:val="en-GB"/>
        </w:rPr>
        <w:t xml:space="preserve"> </w:t>
      </w:r>
      <w:r w:rsidRPr="005D40AD">
        <w:rPr>
          <w:rStyle w:val="sb8d990e2"/>
          <w:lang w:val="en-GB"/>
        </w:rPr>
        <w:t xml:space="preserve">§ 53, Series A no. 145-B). </w:t>
      </w:r>
      <w:r w:rsidR="008B2B37" w:rsidRPr="005D40AD">
        <w:rPr>
          <w:lang w:val="en-GB"/>
        </w:rPr>
        <w:t xml:space="preserve">The Panel therefore determines that the nature and degree of scrutiny to determine whether the effectiveness of the investigation satisfies the minimum threshold depends on the circumstances of the particular case. </w:t>
      </w:r>
      <w:r w:rsidRPr="005D40AD">
        <w:rPr>
          <w:rStyle w:val="sb8d990e2"/>
          <w:lang w:val="en-GB"/>
        </w:rPr>
        <w:t>For these reasons, the Panel considers that it will establish with regard to each case if all reasonable steps were taken to conduct an effective investigation as prescribed by Article 2,</w:t>
      </w:r>
      <w:r w:rsidRPr="005D40AD">
        <w:rPr>
          <w:lang w:val="en-GB"/>
        </w:rPr>
        <w:t xml:space="preserve"> </w:t>
      </w:r>
      <w:r w:rsidRPr="005D40AD">
        <w:rPr>
          <w:rStyle w:val="sb8d990e2"/>
          <w:lang w:val="en-GB"/>
        </w:rPr>
        <w:t>having regard to the realities of the investigative work in Kosovo.</w:t>
      </w:r>
      <w:bookmarkEnd w:id="67"/>
    </w:p>
    <w:p w:rsidR="003E3F85" w:rsidRPr="005D40AD" w:rsidRDefault="003E3F85" w:rsidP="003E3F85">
      <w:pPr>
        <w:pStyle w:val="ListParagraph"/>
        <w:rPr>
          <w:rStyle w:val="sb8d990e2"/>
          <w:lang w:val="en-GB" w:eastAsia="en-US"/>
        </w:rPr>
      </w:pPr>
    </w:p>
    <w:p w:rsidR="003E3F85" w:rsidRPr="005D40AD" w:rsidRDefault="003E3F85" w:rsidP="000E2607">
      <w:pPr>
        <w:numPr>
          <w:ilvl w:val="0"/>
          <w:numId w:val="2"/>
        </w:numPr>
        <w:suppressAutoHyphens/>
        <w:autoSpaceDE w:val="0"/>
        <w:jc w:val="both"/>
        <w:rPr>
          <w:lang w:eastAsia="nl-NL"/>
        </w:rPr>
      </w:pPr>
      <w:r w:rsidRPr="005D40AD">
        <w:t xml:space="preserve">Lastly, in response to the SRSG’s objection that Article 2 must be interpreted in a way which </w:t>
      </w:r>
      <w:r w:rsidRPr="005D40AD">
        <w:rPr>
          <w:lang w:val="en-GB"/>
        </w:rPr>
        <w:t>does</w:t>
      </w:r>
      <w:r w:rsidRPr="005D40AD">
        <w:t xml:space="preserve"> not </w:t>
      </w:r>
      <w:r w:rsidRPr="005D40AD">
        <w:rPr>
          <w:lang w:val="en-GB"/>
        </w:rPr>
        <w:t>impose</w:t>
      </w:r>
      <w:r w:rsidRPr="005D40AD">
        <w:t xml:space="preserve"> an impossible or disproportionate burden on the authorities, e</w:t>
      </w:r>
      <w:r w:rsidR="00622236" w:rsidRPr="005D40AD">
        <w:t xml:space="preserve">ither in the context of </w:t>
      </w:r>
      <w:proofErr w:type="spellStart"/>
      <w:r w:rsidR="00622236" w:rsidRPr="005D40AD">
        <w:t>policin</w:t>
      </w:r>
      <w:proofErr w:type="spellEnd"/>
      <w:r w:rsidRPr="005D40AD">
        <w:rPr>
          <w:lang w:val="en-GB"/>
        </w:rPr>
        <w:t>g</w:t>
      </w:r>
      <w:r w:rsidRPr="005D40AD">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5D40AD">
        <w:t>ECtHR</w:t>
      </w:r>
      <w:proofErr w:type="spellEnd"/>
      <w:r w:rsidRPr="005D40AD">
        <w:t xml:space="preserve">, </w:t>
      </w:r>
      <w:proofErr w:type="spellStart"/>
      <w:r w:rsidRPr="005D40AD">
        <w:rPr>
          <w:i/>
        </w:rPr>
        <w:t>Palić</w:t>
      </w:r>
      <w:proofErr w:type="spellEnd"/>
      <w:r w:rsidRPr="005D40AD">
        <w:rPr>
          <w:i/>
        </w:rPr>
        <w:t xml:space="preserve"> v. Bosnia and Herzegovina,</w:t>
      </w:r>
      <w:r w:rsidRPr="005D40AD">
        <w:t xml:space="preserve"> cited in § </w:t>
      </w:r>
      <w:r w:rsidRPr="005D40AD">
        <w:fldChar w:fldCharType="begin"/>
      </w:r>
      <w:r w:rsidRPr="005D40AD">
        <w:instrText xml:space="preserve"> REF _Ref366239979 \r \h  \* MERGEFORMAT </w:instrText>
      </w:r>
      <w:r w:rsidRPr="005D40AD">
        <w:fldChar w:fldCharType="separate"/>
      </w:r>
      <w:r w:rsidR="00AC127D">
        <w:t>60</w:t>
      </w:r>
      <w:r w:rsidRPr="005D40AD">
        <w:fldChar w:fldCharType="end"/>
      </w:r>
      <w:r w:rsidRPr="005D40AD">
        <w:t xml:space="preserve"> above, at § 70; </w:t>
      </w:r>
      <w:proofErr w:type="spellStart"/>
      <w:r w:rsidR="00B41BE6" w:rsidRPr="005D40AD">
        <w:t>ECtHR</w:t>
      </w:r>
      <w:proofErr w:type="spellEnd"/>
      <w:r w:rsidR="00B41BE6" w:rsidRPr="005D40AD">
        <w:t xml:space="preserve">, </w:t>
      </w:r>
      <w:proofErr w:type="spellStart"/>
      <w:r w:rsidRPr="005D40AD">
        <w:rPr>
          <w:i/>
        </w:rPr>
        <w:t>Brecknell</w:t>
      </w:r>
      <w:proofErr w:type="spellEnd"/>
      <w:r w:rsidRPr="005D40AD">
        <w:rPr>
          <w:i/>
        </w:rPr>
        <w:t xml:space="preserve"> v. The United Kingdom,</w:t>
      </w:r>
      <w:r w:rsidRPr="005D40AD">
        <w:t xml:space="preserve"> no. 32457/04, judgment of 27 November 2007, § 62).</w:t>
      </w:r>
    </w:p>
    <w:p w:rsidR="00CE4484" w:rsidRPr="005D40AD" w:rsidRDefault="00CE4484" w:rsidP="00667EF4">
      <w:pPr>
        <w:pStyle w:val="ListParagraph"/>
        <w:tabs>
          <w:tab w:val="num" w:pos="426"/>
        </w:tabs>
        <w:ind w:left="426" w:hanging="426"/>
        <w:rPr>
          <w:lang w:eastAsia="nl-NL"/>
        </w:rPr>
      </w:pPr>
    </w:p>
    <w:p w:rsidR="00CE4484" w:rsidRPr="005D40AD" w:rsidRDefault="00CE4484" w:rsidP="000E2607">
      <w:pPr>
        <w:numPr>
          <w:ilvl w:val="0"/>
          <w:numId w:val="2"/>
        </w:numPr>
        <w:contextualSpacing/>
        <w:jc w:val="both"/>
        <w:rPr>
          <w:rStyle w:val="sb8d990e2"/>
          <w:lang w:val="en-GB"/>
        </w:rPr>
      </w:pPr>
      <w:bookmarkStart w:id="68" w:name="_Ref403834230"/>
      <w:r w:rsidRPr="005D40AD">
        <w:rPr>
          <w:rStyle w:val="sb8d990e2"/>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5D40AD">
        <w:rPr>
          <w:rStyle w:val="sb8d990e2"/>
          <w:i/>
          <w:lang w:val="en-GB"/>
        </w:rPr>
        <w:t>Aslakhanova and Others v. Russia</w:t>
      </w:r>
      <w:r w:rsidRPr="005D40AD">
        <w:rPr>
          <w:rStyle w:val="sb8d990e2"/>
          <w:lang w:val="en-GB"/>
        </w:rPr>
        <w:t xml:space="preserve">, cited in § </w:t>
      </w:r>
      <w:r w:rsidRPr="005D40AD">
        <w:rPr>
          <w:rStyle w:val="sb8d990e2"/>
          <w:lang w:val="en-GB"/>
        </w:rPr>
        <w:fldChar w:fldCharType="begin"/>
      </w:r>
      <w:r w:rsidRPr="005D40AD">
        <w:rPr>
          <w:rStyle w:val="sb8d990e2"/>
          <w:lang w:val="en-GB"/>
        </w:rPr>
        <w:instrText xml:space="preserve"> REF _Ref373950745 \r \h </w:instrText>
      </w:r>
      <w:r w:rsidR="00393E7A" w:rsidRPr="005D40AD">
        <w:rPr>
          <w:rStyle w:val="sb8d990e2"/>
          <w:lang w:val="en-GB"/>
        </w:rPr>
        <w:instrText xml:space="preserve"> \* MERGEFORMAT </w:instrText>
      </w:r>
      <w:r w:rsidRPr="005D40AD">
        <w:rPr>
          <w:rStyle w:val="sb8d990e2"/>
          <w:lang w:val="en-GB"/>
        </w:rPr>
      </w:r>
      <w:r w:rsidRPr="005D40AD">
        <w:rPr>
          <w:rStyle w:val="sb8d990e2"/>
          <w:lang w:val="en-GB"/>
        </w:rPr>
        <w:fldChar w:fldCharType="separate"/>
      </w:r>
      <w:r w:rsidR="00AC127D">
        <w:rPr>
          <w:rStyle w:val="sb8d990e2"/>
          <w:lang w:val="en-GB"/>
        </w:rPr>
        <w:t>63</w:t>
      </w:r>
      <w:r w:rsidRPr="005D40AD">
        <w:rPr>
          <w:rStyle w:val="sb8d990e2"/>
          <w:lang w:val="en-GB"/>
        </w:rPr>
        <w:fldChar w:fldCharType="end"/>
      </w:r>
      <w:r w:rsidRPr="005D40AD">
        <w:rPr>
          <w:rStyle w:val="sb8d990e2"/>
          <w:lang w:val="en-GB"/>
        </w:rPr>
        <w:t xml:space="preserve"> above,</w:t>
      </w:r>
      <w:r w:rsidR="006832A5">
        <w:rPr>
          <w:rStyle w:val="sb8d990e2"/>
          <w:lang w:val="en-GB"/>
        </w:rPr>
        <w:t xml:space="preserve"> at</w:t>
      </w:r>
      <w:r w:rsidRPr="005D40AD">
        <w:rPr>
          <w:rStyle w:val="sb8d990e2"/>
          <w:lang w:val="en-GB"/>
        </w:rPr>
        <w:t xml:space="preser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68"/>
    </w:p>
    <w:p w:rsidR="003E3F85" w:rsidRPr="005D40AD" w:rsidRDefault="003E3F85" w:rsidP="001C2817">
      <w:pPr>
        <w:rPr>
          <w:rStyle w:val="sb8d990e2"/>
          <w:lang w:eastAsia="nl-NL"/>
        </w:rPr>
      </w:pPr>
    </w:p>
    <w:p w:rsidR="003E3F85" w:rsidRPr="005D40AD" w:rsidRDefault="003E3F85" w:rsidP="00730823">
      <w:pPr>
        <w:pStyle w:val="ListParagraph"/>
        <w:ind w:left="360"/>
        <w:contextualSpacing/>
        <w:jc w:val="both"/>
        <w:rPr>
          <w:i/>
          <w:lang w:val="en-GB"/>
        </w:rPr>
      </w:pPr>
      <w:r w:rsidRPr="005D40AD">
        <w:rPr>
          <w:i/>
          <w:lang w:val="en-GB"/>
        </w:rPr>
        <w:t>Compliance with Article 2 in the present case</w:t>
      </w:r>
    </w:p>
    <w:p w:rsidR="00874A40" w:rsidRPr="005D40AD" w:rsidRDefault="00874A40" w:rsidP="006C6331">
      <w:pPr>
        <w:suppressAutoHyphens/>
        <w:autoSpaceDE w:val="0"/>
        <w:jc w:val="both"/>
      </w:pPr>
    </w:p>
    <w:p w:rsidR="00730823" w:rsidRDefault="00730823" w:rsidP="000E2607">
      <w:pPr>
        <w:numPr>
          <w:ilvl w:val="0"/>
          <w:numId w:val="2"/>
        </w:numPr>
        <w:suppressAutoHyphens/>
        <w:autoSpaceDE w:val="0"/>
        <w:jc w:val="both"/>
        <w:rPr>
          <w:bCs/>
          <w:lang w:val="en-GB"/>
        </w:rPr>
      </w:pPr>
      <w:r w:rsidRPr="0099174E">
        <w:rPr>
          <w:bCs/>
          <w:lang w:val="en-GB"/>
        </w:rPr>
        <w:t>Turning to the circumstances of the present case, the Panel</w:t>
      </w:r>
      <w:r>
        <w:rPr>
          <w:bCs/>
          <w:lang w:val="en-GB"/>
        </w:rPr>
        <w:t xml:space="preserve"> </w:t>
      </w:r>
      <w:r>
        <w:rPr>
          <w:lang w:val="en-GB"/>
        </w:rPr>
        <w:t xml:space="preserve">first </w:t>
      </w:r>
      <w:r>
        <w:t>addresses</w:t>
      </w:r>
      <w:r>
        <w:rPr>
          <w:lang w:val="en-GB"/>
        </w:rPr>
        <w:t xml:space="preserve"> the issue of the burden of proof. At the admissibility stage, the Panel was satisfied that the complainant’s allegations were not groundless, thus it accepted the existence of a </w:t>
      </w:r>
      <w:r>
        <w:rPr>
          <w:i/>
          <w:lang w:val="en-GB"/>
        </w:rPr>
        <w:t>prima facie</w:t>
      </w:r>
      <w:r>
        <w:rPr>
          <w:lang w:val="en-GB"/>
        </w:rPr>
        <w:t xml:space="preserve"> case: that </w:t>
      </w:r>
      <w:proofErr w:type="spellStart"/>
      <w:r w:rsidR="007872DC">
        <w:t>Mr</w:t>
      </w:r>
      <w:proofErr w:type="spellEnd"/>
      <w:r w:rsidR="007872DC">
        <w:t xml:space="preserve"> </w:t>
      </w:r>
      <w:proofErr w:type="spellStart"/>
      <w:r w:rsidR="007872DC">
        <w:t>Momčilo</w:t>
      </w:r>
      <w:proofErr w:type="spellEnd"/>
      <w:r w:rsidR="007872DC">
        <w:t xml:space="preserve"> </w:t>
      </w:r>
      <w:proofErr w:type="spellStart"/>
      <w:r w:rsidR="007872DC">
        <w:t>Joksimović</w:t>
      </w:r>
      <w:proofErr w:type="spellEnd"/>
      <w:r w:rsidR="007872DC" w:rsidRPr="005D40AD">
        <w:rPr>
          <w:lang w:val="en-GB"/>
        </w:rPr>
        <w:t xml:space="preserve"> </w:t>
      </w:r>
      <w:r>
        <w:rPr>
          <w:lang w:val="en-GB"/>
        </w:rPr>
        <w:t>disappeared in life threatening circumst</w:t>
      </w:r>
      <w:r w:rsidR="001D6BF0">
        <w:rPr>
          <w:lang w:val="en-GB"/>
        </w:rPr>
        <w:t>ances and that, at the latest 14 April 2000</w:t>
      </w:r>
      <w:r>
        <w:rPr>
          <w:lang w:val="en-GB"/>
        </w:rPr>
        <w:t xml:space="preserve">, UNMIK </w:t>
      </w:r>
      <w:r w:rsidR="002642A4">
        <w:rPr>
          <w:lang w:val="en-GB"/>
        </w:rPr>
        <w:t xml:space="preserve">was </w:t>
      </w:r>
      <w:r>
        <w:rPr>
          <w:lang w:val="en-GB"/>
        </w:rPr>
        <w:t xml:space="preserve">aware </w:t>
      </w:r>
      <w:r w:rsidR="002642A4">
        <w:rPr>
          <w:lang w:val="en-GB"/>
        </w:rPr>
        <w:t xml:space="preserve">the </w:t>
      </w:r>
      <w:r w:rsidR="001D6BF0">
        <w:rPr>
          <w:lang w:val="en-GB"/>
        </w:rPr>
        <w:t xml:space="preserve">body discovered on 8 November 1999 was that of </w:t>
      </w:r>
      <w:proofErr w:type="spellStart"/>
      <w:r w:rsidR="001D6BF0">
        <w:t>Mr</w:t>
      </w:r>
      <w:proofErr w:type="spellEnd"/>
      <w:r w:rsidR="001D6BF0">
        <w:t xml:space="preserve"> </w:t>
      </w:r>
      <w:proofErr w:type="spellStart"/>
      <w:r w:rsidR="001D6BF0">
        <w:t>Momčilo</w:t>
      </w:r>
      <w:proofErr w:type="spellEnd"/>
      <w:r w:rsidR="001D6BF0">
        <w:t xml:space="preserve"> </w:t>
      </w:r>
      <w:proofErr w:type="spellStart"/>
      <w:r w:rsidR="001D6BF0">
        <w:t>Joksimović</w:t>
      </w:r>
      <w:proofErr w:type="spellEnd"/>
      <w:r w:rsidR="002642A4">
        <w:t>.</w:t>
      </w:r>
    </w:p>
    <w:p w:rsidR="00730823" w:rsidRDefault="00730823" w:rsidP="00730823">
      <w:pPr>
        <w:tabs>
          <w:tab w:val="left" w:pos="360"/>
        </w:tabs>
        <w:suppressAutoHyphens/>
        <w:autoSpaceDE w:val="0"/>
        <w:ind w:left="360" w:hanging="360"/>
        <w:jc w:val="both"/>
        <w:rPr>
          <w:bCs/>
          <w:lang w:val="en-GB"/>
        </w:rPr>
      </w:pPr>
    </w:p>
    <w:p w:rsidR="00730823" w:rsidRDefault="00730823" w:rsidP="000E2607">
      <w:pPr>
        <w:numPr>
          <w:ilvl w:val="0"/>
          <w:numId w:val="2"/>
        </w:numPr>
        <w:suppressAutoHyphens/>
        <w:autoSpaceDE w:val="0"/>
        <w:jc w:val="both"/>
        <w:rPr>
          <w:bCs/>
          <w:lang w:val="en-GB"/>
        </w:rPr>
      </w:pPr>
      <w:r>
        <w:rPr>
          <w:lang w:val="en-GB"/>
        </w:rPr>
        <w:t xml:space="preserve">Accordingly, applying the principles discussed above (see §§ </w:t>
      </w:r>
      <w:r>
        <w:rPr>
          <w:lang w:val="en-GB"/>
        </w:rPr>
        <w:fldChar w:fldCharType="begin"/>
      </w:r>
      <w:r>
        <w:rPr>
          <w:lang w:val="en-GB"/>
        </w:rPr>
        <w:instrText xml:space="preserve"> REF _Ref347993393 \r \h  \* MERGEFORMAT </w:instrText>
      </w:r>
      <w:r>
        <w:rPr>
          <w:lang w:val="en-GB"/>
        </w:rPr>
      </w:r>
      <w:r>
        <w:rPr>
          <w:lang w:val="en-GB"/>
        </w:rPr>
        <w:fldChar w:fldCharType="separate"/>
      </w:r>
      <w:r w:rsidR="00AC127D">
        <w:rPr>
          <w:lang w:val="en-GB"/>
        </w:rPr>
        <w:t>52</w:t>
      </w:r>
      <w:r>
        <w:rPr>
          <w:lang w:val="en-GB"/>
        </w:rPr>
        <w:fldChar w:fldCharType="end"/>
      </w:r>
      <w:r>
        <w:rPr>
          <w:lang w:val="en-GB"/>
        </w:rPr>
        <w:t>-</w:t>
      </w:r>
      <w:r>
        <w:fldChar w:fldCharType="begin"/>
      </w:r>
      <w:r>
        <w:instrText xml:space="preserve"> REF _Ref342296805 \r \h  \* MERGEFORMAT </w:instrText>
      </w:r>
      <w:r>
        <w:fldChar w:fldCharType="separate"/>
      </w:r>
      <w:r w:rsidR="00AC127D" w:rsidRPr="00AC127D">
        <w:rPr>
          <w:lang w:val="en-GB"/>
        </w:rPr>
        <w:t>53</w:t>
      </w:r>
      <w:r>
        <w:fldChar w:fldCharType="end"/>
      </w:r>
      <w:r>
        <w:rPr>
          <w:lang w:val="en-GB"/>
        </w:rPr>
        <w:t xml:space="preser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w:t>
      </w:r>
      <w:r>
        <w:rPr>
          <w:color w:val="000000"/>
          <w:lang w:val="en-GB"/>
        </w:rPr>
        <w:t>presented any investigative file, nor</w:t>
      </w:r>
      <w:r>
        <w:rPr>
          <w:lang w:val="en-GB"/>
        </w:rPr>
        <w:t xml:space="preserve"> has it in a “</w:t>
      </w:r>
      <w:r>
        <w:t>satisfactory and convincing” way explained its failure to do so. Accordingly, the Panel will draw inferences from this situation.</w:t>
      </w:r>
    </w:p>
    <w:p w:rsidR="00730823" w:rsidRDefault="00730823" w:rsidP="00730823">
      <w:pPr>
        <w:tabs>
          <w:tab w:val="left" w:pos="360"/>
        </w:tabs>
        <w:ind w:left="360" w:hanging="360"/>
      </w:pPr>
    </w:p>
    <w:p w:rsidR="00730823" w:rsidRDefault="00730823" w:rsidP="000E2607">
      <w:pPr>
        <w:numPr>
          <w:ilvl w:val="0"/>
          <w:numId w:val="2"/>
        </w:numPr>
        <w:jc w:val="both"/>
      </w:pPr>
      <w:r>
        <w:t xml:space="preserve">The Panel notes that according to the 2000 Annual Report of UNMIK Police, at least from mid-September 1999 the whole system of criminal investigation in </w:t>
      </w:r>
      <w:proofErr w:type="spellStart"/>
      <w:r>
        <w:t>Prishtinë</w:t>
      </w:r>
      <w:proofErr w:type="spellEnd"/>
      <w:r>
        <w:t>/</w:t>
      </w:r>
      <w:proofErr w:type="spellStart"/>
      <w:r>
        <w:t>Priŝtina</w:t>
      </w:r>
      <w:proofErr w:type="spellEnd"/>
      <w:r>
        <w:t xml:space="preserve"> region was under the full control of UNMIK. Therefore, it was UNMIK’s responsibility to ensure, </w:t>
      </w:r>
      <w:r>
        <w:rPr>
          <w:i/>
        </w:rPr>
        <w:t>first</w:t>
      </w:r>
      <w:r>
        <w:t xml:space="preserve">, that the investigation is conducted expeditiously and efficiently; </w:t>
      </w:r>
      <w:r>
        <w:rPr>
          <w:i/>
        </w:rPr>
        <w:t>second</w:t>
      </w:r>
      <w:r>
        <w:t xml:space="preserve">, that all relevant investigative material is properly handed over to the authority taking over  responsibility for investigation (EULEX, see § </w:t>
      </w:r>
      <w:r>
        <w:fldChar w:fldCharType="begin"/>
      </w:r>
      <w:r>
        <w:instrText xml:space="preserve"> REF _Ref346123927 \r \h  \* MERGEFORMAT </w:instrText>
      </w:r>
      <w:r>
        <w:fldChar w:fldCharType="separate"/>
      </w:r>
      <w:r w:rsidR="00AC127D">
        <w:t>19</w:t>
      </w:r>
      <w:r>
        <w:fldChar w:fldCharType="end"/>
      </w:r>
      <w:r>
        <w:t xml:space="preserve"> above); and </w:t>
      </w:r>
      <w:r>
        <w:rPr>
          <w:i/>
        </w:rPr>
        <w:t>third</w:t>
      </w:r>
      <w:r>
        <w:t>, that the investigative files could be traced and retrieved, should a need  arise at any later stage.</w:t>
      </w:r>
    </w:p>
    <w:p w:rsidR="00730823" w:rsidRDefault="00730823" w:rsidP="00730823">
      <w:pPr>
        <w:pStyle w:val="ListParagraph"/>
        <w:tabs>
          <w:tab w:val="left" w:pos="360"/>
        </w:tabs>
        <w:ind w:left="360" w:hanging="360"/>
      </w:pPr>
    </w:p>
    <w:p w:rsidR="00730823" w:rsidRDefault="00730823" w:rsidP="000E2607">
      <w:pPr>
        <w:numPr>
          <w:ilvl w:val="0"/>
          <w:numId w:val="2"/>
        </w:numPr>
        <w:jc w:val="both"/>
      </w:pPr>
      <w:r>
        <w:t xml:space="preserve">The Panel infers from the absence of any investigative file that one of the following situations occurred: no investigation was carried out; UNMIK deliberately opted not to present the file to the Panel, despite its obligation to </w:t>
      </w:r>
      <w:r>
        <w:rPr>
          <w:color w:val="000000"/>
        </w:rPr>
        <w:t xml:space="preserve">cooperate with the Panel and to provide it with the necessary assistance, including the release of documents relevant to the complaints </w:t>
      </w:r>
      <w:r>
        <w:t>under</w:t>
      </w:r>
      <w:r>
        <w:rPr>
          <w:color w:val="000000"/>
        </w:rPr>
        <w:t xml:space="preserve"> Section 15 of UNMIK Regulation No. 2006/12 (cited in § </w:t>
      </w:r>
      <w:r>
        <w:rPr>
          <w:color w:val="000000"/>
        </w:rPr>
        <w:fldChar w:fldCharType="begin"/>
      </w:r>
      <w:r>
        <w:rPr>
          <w:color w:val="000000"/>
        </w:rPr>
        <w:instrText xml:space="preserve"> REF _Ref347495661 \r \h  \* MERGEFORMAT </w:instrText>
      </w:r>
      <w:r>
        <w:rPr>
          <w:color w:val="000000"/>
        </w:rPr>
      </w:r>
      <w:r>
        <w:rPr>
          <w:color w:val="000000"/>
        </w:rPr>
        <w:fldChar w:fldCharType="separate"/>
      </w:r>
      <w:r w:rsidR="00AC127D">
        <w:rPr>
          <w:color w:val="000000"/>
        </w:rPr>
        <w:t>30</w:t>
      </w:r>
      <w:r>
        <w:rPr>
          <w:color w:val="000000"/>
        </w:rPr>
        <w:fldChar w:fldCharType="end"/>
      </w:r>
      <w:r>
        <w:rPr>
          <w:color w:val="000000"/>
        </w:rPr>
        <w:t xml:space="preserve"> above); the file was not properly handed over to EULEX; or UNMIK failed to retrieve the file from the current custodian.</w:t>
      </w:r>
    </w:p>
    <w:p w:rsidR="00730823" w:rsidRDefault="00730823" w:rsidP="00730823">
      <w:pPr>
        <w:tabs>
          <w:tab w:val="left" w:pos="360"/>
        </w:tabs>
        <w:ind w:left="360" w:hanging="360"/>
        <w:jc w:val="both"/>
      </w:pPr>
    </w:p>
    <w:p w:rsidR="0093089D" w:rsidRPr="00BB555C" w:rsidRDefault="0093089D" w:rsidP="0093089D">
      <w:pPr>
        <w:numPr>
          <w:ilvl w:val="0"/>
          <w:numId w:val="2"/>
        </w:numPr>
        <w:tabs>
          <w:tab w:val="left" w:pos="360"/>
        </w:tabs>
        <w:suppressAutoHyphens/>
        <w:autoSpaceDE w:val="0"/>
        <w:jc w:val="both"/>
      </w:pPr>
      <w:r w:rsidRPr="00BB555C">
        <w:t xml:space="preserve">The Panel has already noted above that it has no reason to doubt UNMIK’s good faith in seeking to provide the investigative file for the Panel’s review. The Panel also notes that the SRSG in essence opines that, from the dearth of investigative information available regarding the investigation into the abduction and killing of </w:t>
      </w:r>
      <w:proofErr w:type="spellStart"/>
      <w:r w:rsidR="00446CA0" w:rsidRPr="00BB555C">
        <w:t>Mr</w:t>
      </w:r>
      <w:proofErr w:type="spellEnd"/>
      <w:r w:rsidR="00446CA0" w:rsidRPr="00BB555C">
        <w:t xml:space="preserve"> </w:t>
      </w:r>
      <w:proofErr w:type="spellStart"/>
      <w:r w:rsidR="00446CA0" w:rsidRPr="00BB555C">
        <w:t>Momčilo</w:t>
      </w:r>
      <w:proofErr w:type="spellEnd"/>
      <w:r w:rsidR="00446CA0" w:rsidRPr="00BB555C">
        <w:t xml:space="preserve"> </w:t>
      </w:r>
      <w:proofErr w:type="spellStart"/>
      <w:r w:rsidR="00446CA0" w:rsidRPr="00BB555C">
        <w:t>Joksimović</w:t>
      </w:r>
      <w:proofErr w:type="spellEnd"/>
      <w:r w:rsidRPr="00BB555C">
        <w:t xml:space="preserve">, it is not possible to establish whether some apparent gaps in the investigation are attributable to a failure of the relevant offices to pass on and record the information, or rather to a mere lack of investigation. </w:t>
      </w:r>
    </w:p>
    <w:p w:rsidR="0093089D" w:rsidRPr="00BB555C" w:rsidRDefault="0093089D" w:rsidP="0093089D">
      <w:pPr>
        <w:suppressAutoHyphens/>
        <w:autoSpaceDE w:val="0"/>
        <w:jc w:val="both"/>
      </w:pPr>
    </w:p>
    <w:p w:rsidR="0093089D" w:rsidRPr="00BB555C" w:rsidRDefault="0093089D" w:rsidP="0093089D">
      <w:pPr>
        <w:numPr>
          <w:ilvl w:val="0"/>
          <w:numId w:val="2"/>
        </w:numPr>
        <w:tabs>
          <w:tab w:val="left" w:pos="360"/>
        </w:tabs>
        <w:suppressAutoHyphens/>
        <w:autoSpaceDE w:val="0"/>
        <w:jc w:val="both"/>
      </w:pPr>
      <w:r w:rsidRPr="00BB555C">
        <w:t xml:space="preserve">However, the Panel considers that whichever of these </w:t>
      </w:r>
      <w:r w:rsidR="002642A4" w:rsidRPr="00BB555C">
        <w:t xml:space="preserve">possible </w:t>
      </w:r>
      <w:r w:rsidRPr="00BB555C">
        <w:t>explanations is applicable, it indicates a failure, which is directly attributable to UNMIK, either when it was exercising its executive functions, or in its current capacity.</w:t>
      </w:r>
    </w:p>
    <w:p w:rsidR="0093089D" w:rsidRPr="00BB555C" w:rsidRDefault="0093089D" w:rsidP="0093089D">
      <w:pPr>
        <w:tabs>
          <w:tab w:val="left" w:pos="709"/>
        </w:tabs>
        <w:suppressAutoHyphens/>
        <w:autoSpaceDE w:val="0"/>
        <w:jc w:val="both"/>
        <w:rPr>
          <w:b/>
          <w:i/>
          <w:u w:val="single"/>
          <w:lang w:val="en-GB"/>
        </w:rPr>
      </w:pPr>
    </w:p>
    <w:p w:rsidR="0093089D" w:rsidRPr="00BB555C" w:rsidRDefault="0093089D" w:rsidP="0093089D">
      <w:pPr>
        <w:numPr>
          <w:ilvl w:val="0"/>
          <w:numId w:val="2"/>
        </w:numPr>
        <w:tabs>
          <w:tab w:val="clear" w:pos="360"/>
          <w:tab w:val="num" w:pos="426"/>
          <w:tab w:val="num" w:pos="786"/>
        </w:tabs>
        <w:autoSpaceDE w:val="0"/>
        <w:ind w:left="426" w:hanging="426"/>
        <w:contextualSpacing/>
        <w:jc w:val="both"/>
      </w:pPr>
      <w:r w:rsidRPr="00BB555C">
        <w:rPr>
          <w:lang w:val="en-GB"/>
        </w:rPr>
        <w:t xml:space="preserve">The purpose of this investigation was to discover the truth about the circumstances of </w:t>
      </w:r>
      <w:proofErr w:type="spellStart"/>
      <w:r w:rsidR="00446CA0" w:rsidRPr="00BB555C">
        <w:t>Mr</w:t>
      </w:r>
      <w:proofErr w:type="spellEnd"/>
      <w:r w:rsidR="00446CA0" w:rsidRPr="00BB555C">
        <w:t xml:space="preserve"> </w:t>
      </w:r>
      <w:proofErr w:type="spellStart"/>
      <w:r w:rsidR="00446CA0" w:rsidRPr="00BB555C">
        <w:t>Momčilo</w:t>
      </w:r>
      <w:proofErr w:type="spellEnd"/>
      <w:r w:rsidR="00446CA0" w:rsidRPr="00BB555C">
        <w:t xml:space="preserve"> </w:t>
      </w:r>
      <w:proofErr w:type="spellStart"/>
      <w:r w:rsidR="00446CA0" w:rsidRPr="00BB555C">
        <w:t>Joksimović’s</w:t>
      </w:r>
      <w:proofErr w:type="spellEnd"/>
      <w:r w:rsidR="00446CA0" w:rsidRPr="00BB555C">
        <w:rPr>
          <w:lang w:val="en-GB"/>
        </w:rPr>
        <w:t xml:space="preserve"> </w:t>
      </w:r>
      <w:r w:rsidRPr="00BB555C">
        <w:rPr>
          <w:lang w:val="en-GB"/>
        </w:rPr>
        <w:t>abduction and killing, establish his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93089D" w:rsidRPr="00BB555C" w:rsidRDefault="0093089D" w:rsidP="0093089D">
      <w:pPr>
        <w:pStyle w:val="ListParagraph"/>
        <w:suppressAutoHyphens w:val="0"/>
        <w:ind w:left="0"/>
        <w:contextualSpacing/>
        <w:jc w:val="both"/>
        <w:rPr>
          <w:lang w:val="en-GB" w:eastAsia="en-US"/>
        </w:rPr>
      </w:pPr>
    </w:p>
    <w:p w:rsidR="0093089D" w:rsidRPr="00BB555C" w:rsidRDefault="0093089D" w:rsidP="0093089D">
      <w:pPr>
        <w:numPr>
          <w:ilvl w:val="0"/>
          <w:numId w:val="2"/>
        </w:numPr>
        <w:tabs>
          <w:tab w:val="clear" w:pos="360"/>
          <w:tab w:val="num" w:pos="426"/>
          <w:tab w:val="num" w:pos="786"/>
        </w:tabs>
        <w:autoSpaceDE w:val="0"/>
        <w:ind w:left="426" w:hanging="426"/>
        <w:contextualSpacing/>
        <w:jc w:val="both"/>
        <w:rPr>
          <w:lang w:val="en-GB" w:eastAsia="en-GB"/>
        </w:rPr>
      </w:pPr>
      <w:r w:rsidRPr="00BB555C">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BB555C">
        <w:rPr>
          <w:i/>
          <w:lang w:val="en-GB" w:eastAsia="en-GB"/>
        </w:rPr>
        <w:t>inter alia</w:t>
      </w:r>
      <w:r w:rsidRPr="00BB555C">
        <w:rPr>
          <w:lang w:val="en-GB" w:eastAsia="en-GB"/>
        </w:rPr>
        <w:t xml:space="preserve"> eye-witness </w:t>
      </w:r>
      <w:r w:rsidRPr="00BB555C">
        <w:rPr>
          <w:lang w:val="en-GB"/>
        </w:rPr>
        <w:t>testimony</w:t>
      </w:r>
      <w:r w:rsidRPr="00BB555C">
        <w:rPr>
          <w:lang w:val="en-GB" w:eastAsia="en-GB"/>
        </w:rPr>
        <w:t xml:space="preserve">, forensic evidence etc. The investigation must also ensure a sufficient element of public scrutiny and be reasonably </w:t>
      </w:r>
      <w:r w:rsidRPr="00BB555C">
        <w:rPr>
          <w:lang w:val="en-GB"/>
        </w:rPr>
        <w:t>accessible to the victim’s family. T</w:t>
      </w:r>
      <w:r w:rsidRPr="00BB555C">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BB555C">
        <w:rPr>
          <w:bCs/>
          <w:lang w:val="en-GB"/>
        </w:rPr>
        <w:t xml:space="preserve"> (see §§ </w:t>
      </w:r>
      <w:r w:rsidRPr="00BB555C">
        <w:fldChar w:fldCharType="begin"/>
      </w:r>
      <w:r w:rsidRPr="00BB555C">
        <w:rPr>
          <w:bCs/>
          <w:lang w:val="en-GB"/>
        </w:rPr>
        <w:instrText xml:space="preserve"> REF _Ref366239979 \r \h </w:instrText>
      </w:r>
      <w:r w:rsidRPr="00BB555C">
        <w:instrText xml:space="preserve"> \* MERGEFORMAT </w:instrText>
      </w:r>
      <w:r w:rsidRPr="00BB555C">
        <w:fldChar w:fldCharType="separate"/>
      </w:r>
      <w:r w:rsidR="00AC127D">
        <w:rPr>
          <w:bCs/>
          <w:lang w:val="en-GB"/>
        </w:rPr>
        <w:t>60</w:t>
      </w:r>
      <w:r w:rsidRPr="00BB555C">
        <w:fldChar w:fldCharType="end"/>
      </w:r>
      <w:r w:rsidRPr="00BB555C">
        <w:rPr>
          <w:bCs/>
          <w:lang w:val="en-GB"/>
        </w:rPr>
        <w:t xml:space="preserve"> - </w:t>
      </w:r>
      <w:r w:rsidRPr="00BB555C">
        <w:fldChar w:fldCharType="begin"/>
      </w:r>
      <w:r w:rsidRPr="00BB555C">
        <w:rPr>
          <w:bCs/>
          <w:lang w:val="en-GB"/>
        </w:rPr>
        <w:instrText xml:space="preserve"> REF _Ref401245516 \r \h </w:instrText>
      </w:r>
      <w:r w:rsidRPr="00BB555C">
        <w:instrText xml:space="preserve"> \* MERGEFORMAT </w:instrText>
      </w:r>
      <w:r w:rsidRPr="00BB555C">
        <w:fldChar w:fldCharType="separate"/>
      </w:r>
      <w:r w:rsidR="00AC127D">
        <w:rPr>
          <w:bCs/>
          <w:lang w:val="en-GB"/>
        </w:rPr>
        <w:t>61</w:t>
      </w:r>
      <w:r w:rsidRPr="00BB555C">
        <w:fldChar w:fldCharType="end"/>
      </w:r>
      <w:r w:rsidRPr="00BB555C">
        <w:rPr>
          <w:bCs/>
          <w:lang w:val="en-GB"/>
        </w:rPr>
        <w:t xml:space="preserve"> above).</w:t>
      </w:r>
    </w:p>
    <w:p w:rsidR="0093089D" w:rsidRPr="00BB555C" w:rsidRDefault="0093089D" w:rsidP="0093089D">
      <w:pPr>
        <w:rPr>
          <w:lang w:val="en-GB"/>
        </w:rPr>
      </w:pPr>
    </w:p>
    <w:p w:rsidR="00934F9E" w:rsidRPr="00BB555C" w:rsidRDefault="0093089D" w:rsidP="00934F9E">
      <w:pPr>
        <w:numPr>
          <w:ilvl w:val="0"/>
          <w:numId w:val="2"/>
        </w:numPr>
        <w:tabs>
          <w:tab w:val="clear" w:pos="360"/>
          <w:tab w:val="num" w:pos="426"/>
          <w:tab w:val="num" w:pos="786"/>
        </w:tabs>
        <w:autoSpaceDE w:val="0"/>
        <w:ind w:left="426" w:hanging="426"/>
        <w:contextualSpacing/>
        <w:jc w:val="both"/>
        <w:rPr>
          <w:lang w:val="en-GB"/>
        </w:rPr>
      </w:pPr>
      <w:r w:rsidRPr="00BB555C">
        <w:rPr>
          <w:bCs/>
          <w:lang w:val="en-GB"/>
        </w:rPr>
        <w:t>The</w:t>
      </w:r>
      <w:r w:rsidRPr="00BB555C">
        <w:rPr>
          <w:lang w:val="en-GB"/>
        </w:rPr>
        <w:t xml:space="preserve"> Panel notes that there were obvious shortcomings in the conduct of the investigation from its </w:t>
      </w:r>
      <w:r w:rsidRPr="00BB555C">
        <w:rPr>
          <w:lang w:val="en-GB" w:eastAsia="en-GB"/>
        </w:rPr>
        <w:t>commencement</w:t>
      </w:r>
      <w:r w:rsidRPr="00BB555C">
        <w:rPr>
          <w:lang w:val="en-GB"/>
        </w:rPr>
        <w:t xml:space="preserve">. However, in light of the considerations developed above concerning its limited temporal jurisdiction (see § </w:t>
      </w:r>
      <w:r w:rsidRPr="00BB555C">
        <w:rPr>
          <w:lang w:val="en-GB"/>
        </w:rPr>
        <w:fldChar w:fldCharType="begin"/>
      </w:r>
      <w:r w:rsidRPr="00BB555C">
        <w:rPr>
          <w:lang w:val="en-GB"/>
        </w:rPr>
        <w:instrText xml:space="preserve"> REF _Ref346123885 \r \h  \* MERGEFORMAT </w:instrText>
      </w:r>
      <w:r w:rsidRPr="00BB555C">
        <w:rPr>
          <w:lang w:val="en-GB"/>
        </w:rPr>
      </w:r>
      <w:r w:rsidRPr="00BB555C">
        <w:rPr>
          <w:lang w:val="en-GB"/>
        </w:rPr>
        <w:fldChar w:fldCharType="separate"/>
      </w:r>
      <w:r w:rsidR="00AC127D">
        <w:rPr>
          <w:lang w:val="en-GB"/>
        </w:rPr>
        <w:t>32</w:t>
      </w:r>
      <w:r w:rsidRPr="00BB555C">
        <w:rPr>
          <w:lang w:val="en-GB"/>
        </w:rPr>
        <w:fldChar w:fldCharType="end"/>
      </w:r>
      <w:r w:rsidRPr="00BB555C">
        <w:rPr>
          <w:lang w:val="en-GB"/>
        </w:rPr>
        <w:t xml:space="preserve"> above), the Panel recalls that it is competent </w:t>
      </w:r>
      <w:proofErr w:type="spellStart"/>
      <w:r w:rsidRPr="00BB555C">
        <w:rPr>
          <w:i/>
          <w:lang w:val="en-GB"/>
        </w:rPr>
        <w:t>ratione</w:t>
      </w:r>
      <w:proofErr w:type="spellEnd"/>
      <w:r w:rsidRPr="00BB555C">
        <w:rPr>
          <w:i/>
          <w:lang w:val="en-GB"/>
        </w:rPr>
        <w:t xml:space="preserve"> </w:t>
      </w:r>
      <w:proofErr w:type="spellStart"/>
      <w:r w:rsidRPr="00BB555C">
        <w:rPr>
          <w:i/>
          <w:lang w:val="en-GB"/>
        </w:rPr>
        <w:t>temporis</w:t>
      </w:r>
      <w:proofErr w:type="spellEnd"/>
      <w:r w:rsidRPr="00BB555C">
        <w:rPr>
          <w:lang w:val="en-GB"/>
        </w:rPr>
        <w:t xml:space="preserve"> to evaluate the compliance of the investigation with Article 2 of the ECHR only for the period after 23 April 2005, while taking into consideration the state of the case at that date (see </w:t>
      </w:r>
      <w:proofErr w:type="spellStart"/>
      <w:r w:rsidRPr="00BB555C">
        <w:rPr>
          <w:lang w:val="en-GB"/>
        </w:rPr>
        <w:t>ECtHR</w:t>
      </w:r>
      <w:proofErr w:type="spellEnd"/>
      <w:r w:rsidRPr="00BB555C">
        <w:rPr>
          <w:lang w:val="en-GB"/>
        </w:rPr>
        <w:t xml:space="preserve">, </w:t>
      </w:r>
      <w:proofErr w:type="spellStart"/>
      <w:r w:rsidRPr="00BB555C">
        <w:rPr>
          <w:i/>
        </w:rPr>
        <w:t>Palić</w:t>
      </w:r>
      <w:proofErr w:type="spellEnd"/>
      <w:r w:rsidRPr="00BB555C">
        <w:rPr>
          <w:i/>
        </w:rPr>
        <w:t xml:space="preserve"> v. Bosnia and Herzegovina,</w:t>
      </w:r>
      <w:r w:rsidRPr="00BB555C">
        <w:t xml:space="preserve"> cited in § </w:t>
      </w:r>
      <w:r w:rsidRPr="00BB555C">
        <w:fldChar w:fldCharType="begin"/>
      </w:r>
      <w:r w:rsidRPr="00BB555C">
        <w:instrText xml:space="preserve"> REF _Ref373950745 \r \h  \* MERGEFORMAT </w:instrText>
      </w:r>
      <w:r w:rsidRPr="00BB555C">
        <w:fldChar w:fldCharType="separate"/>
      </w:r>
      <w:r w:rsidR="00AC127D">
        <w:t>63</w:t>
      </w:r>
      <w:r w:rsidRPr="00BB555C">
        <w:fldChar w:fldCharType="end"/>
      </w:r>
      <w:r w:rsidRPr="00BB555C">
        <w:t xml:space="preserve"> above, at § 70</w:t>
      </w:r>
      <w:r w:rsidRPr="00BB555C">
        <w:rPr>
          <w:lang w:val="en-GB"/>
        </w:rPr>
        <w:t xml:space="preserve">). The period under review ends on 9 December 2008, with EULEX taking over responsibility in the area of administration of justice (see § </w:t>
      </w:r>
      <w:r w:rsidRPr="00BB555C">
        <w:fldChar w:fldCharType="begin"/>
      </w:r>
      <w:r w:rsidRPr="00BB555C">
        <w:rPr>
          <w:lang w:val="en-GB"/>
        </w:rPr>
        <w:instrText xml:space="preserve"> REF _Ref346123927 \r \h </w:instrText>
      </w:r>
      <w:r w:rsidRPr="00BB555C">
        <w:instrText xml:space="preserve"> \* MERGEFORMAT </w:instrText>
      </w:r>
      <w:r w:rsidRPr="00BB555C">
        <w:fldChar w:fldCharType="separate"/>
      </w:r>
      <w:r w:rsidR="00AC127D">
        <w:rPr>
          <w:lang w:val="en-GB"/>
        </w:rPr>
        <w:t>19</w:t>
      </w:r>
      <w:r w:rsidRPr="00BB555C">
        <w:fldChar w:fldCharType="end"/>
      </w:r>
      <w:r w:rsidRPr="00BB555C">
        <w:rPr>
          <w:lang w:val="en-GB"/>
        </w:rPr>
        <w:t xml:space="preserve"> above).</w:t>
      </w:r>
      <w:bookmarkStart w:id="69" w:name="_Ref436740242"/>
    </w:p>
    <w:p w:rsidR="00934F9E" w:rsidRPr="00BB555C" w:rsidRDefault="00934F9E" w:rsidP="00934F9E">
      <w:pPr>
        <w:pStyle w:val="ListParagraph"/>
      </w:pPr>
    </w:p>
    <w:p w:rsidR="00730823" w:rsidRPr="00BB555C" w:rsidRDefault="00730823" w:rsidP="00934F9E">
      <w:pPr>
        <w:numPr>
          <w:ilvl w:val="0"/>
          <w:numId w:val="2"/>
        </w:numPr>
        <w:tabs>
          <w:tab w:val="clear" w:pos="360"/>
          <w:tab w:val="num" w:pos="426"/>
          <w:tab w:val="num" w:pos="786"/>
        </w:tabs>
        <w:autoSpaceDE w:val="0"/>
        <w:ind w:left="426" w:hanging="426"/>
        <w:contextualSpacing/>
        <w:jc w:val="both"/>
        <w:rPr>
          <w:lang w:val="en-GB"/>
        </w:rPr>
      </w:pPr>
      <w:r w:rsidRPr="00BB555C">
        <w:t xml:space="preserve">The Panel notes that from the moment UNMIK became aware of the matter until 23 April 2005, the only actions undertaken by UNMIK relate to the </w:t>
      </w:r>
      <w:r w:rsidR="007872DC" w:rsidRPr="00BB555C">
        <w:t>drafting of an incident report, which repor</w:t>
      </w:r>
      <w:r w:rsidR="007719C7" w:rsidRPr="00BB555C">
        <w:t xml:space="preserve">ts the finding of a body </w:t>
      </w:r>
      <w:r w:rsidR="006832A5">
        <w:rPr>
          <w:lang w:val="en-GB"/>
        </w:rPr>
        <w:t>on 8 November 1999, later</w:t>
      </w:r>
      <w:r w:rsidR="006832A5">
        <w:t xml:space="preserve"> </w:t>
      </w:r>
      <w:r w:rsidR="002642A4" w:rsidRPr="00BB555C">
        <w:t xml:space="preserve">found </w:t>
      </w:r>
      <w:r w:rsidR="007872DC" w:rsidRPr="00BB555C">
        <w:t xml:space="preserve">to be </w:t>
      </w:r>
      <w:r w:rsidR="002642A4" w:rsidRPr="00BB555C">
        <w:t xml:space="preserve">that </w:t>
      </w:r>
      <w:r w:rsidR="007872DC" w:rsidRPr="00BB555C">
        <w:t xml:space="preserve">of </w:t>
      </w:r>
      <w:proofErr w:type="spellStart"/>
      <w:r w:rsidR="007872DC" w:rsidRPr="00BB555C">
        <w:t>Mr</w:t>
      </w:r>
      <w:proofErr w:type="spellEnd"/>
      <w:r w:rsidR="007872DC" w:rsidRPr="00BB555C">
        <w:t xml:space="preserve"> </w:t>
      </w:r>
      <w:proofErr w:type="spellStart"/>
      <w:r w:rsidR="007872DC" w:rsidRPr="00BB555C">
        <w:t>Momčilo</w:t>
      </w:r>
      <w:proofErr w:type="spellEnd"/>
      <w:r w:rsidR="007872DC" w:rsidRPr="00BB555C">
        <w:t xml:space="preserve"> </w:t>
      </w:r>
      <w:proofErr w:type="spellStart"/>
      <w:r w:rsidR="007872DC" w:rsidRPr="00BB555C">
        <w:t>Joksimović</w:t>
      </w:r>
      <w:proofErr w:type="spellEnd"/>
      <w:r w:rsidR="006832A5">
        <w:t>,</w:t>
      </w:r>
      <w:r w:rsidR="0050515E" w:rsidRPr="00BB555C">
        <w:t xml:space="preserve"> and </w:t>
      </w:r>
      <w:r w:rsidR="002642A4" w:rsidRPr="00BB555C">
        <w:t xml:space="preserve">performing a </w:t>
      </w:r>
      <w:r w:rsidR="0050515E" w:rsidRPr="00BB555C">
        <w:t>subsequent autopsy</w:t>
      </w:r>
      <w:r w:rsidR="007872DC" w:rsidRPr="00BB555C">
        <w:rPr>
          <w:lang w:val="en-GB"/>
        </w:rPr>
        <w:t xml:space="preserve">. </w:t>
      </w:r>
      <w:r w:rsidR="001D6BF0" w:rsidRPr="00BB555C">
        <w:t>T</w:t>
      </w:r>
      <w:r w:rsidRPr="00BB555C">
        <w:t xml:space="preserve">he Panel recalls that the procedural obligation under Article 2 did not come to an end with the discovery of the body, especially as it showed signs of a violent death. </w:t>
      </w:r>
      <w:bookmarkEnd w:id="69"/>
    </w:p>
    <w:p w:rsidR="00730823" w:rsidRPr="00BB555C" w:rsidRDefault="00730823" w:rsidP="00730823">
      <w:pPr>
        <w:tabs>
          <w:tab w:val="left" w:pos="360"/>
        </w:tabs>
        <w:ind w:left="360" w:hanging="360"/>
        <w:jc w:val="both"/>
      </w:pPr>
    </w:p>
    <w:p w:rsidR="00C24203" w:rsidRPr="00BB555C" w:rsidRDefault="00C24203" w:rsidP="00C24203">
      <w:pPr>
        <w:pStyle w:val="ListParagraph"/>
        <w:numPr>
          <w:ilvl w:val="0"/>
          <w:numId w:val="2"/>
        </w:numPr>
        <w:tabs>
          <w:tab w:val="clear" w:pos="360"/>
          <w:tab w:val="num" w:pos="450"/>
        </w:tabs>
        <w:autoSpaceDE w:val="0"/>
        <w:ind w:left="450" w:hanging="450"/>
        <w:jc w:val="both"/>
        <w:rPr>
          <w:bCs/>
          <w:lang w:val="en-GB"/>
        </w:rPr>
      </w:pPr>
      <w:r w:rsidRPr="00BB555C">
        <w:rPr>
          <w:lang w:val="en-GB"/>
        </w:rPr>
        <w:t>Now the Panel will turn to the investigation carried out by UNMIK Police with the aim of identifying the perpetrator(s) and bringing them to justice, that is, the second element of the procedural obligation under Article 2 of the ECHR.</w:t>
      </w:r>
    </w:p>
    <w:p w:rsidR="00C24203" w:rsidRPr="00BB555C" w:rsidRDefault="00C24203" w:rsidP="00C24203">
      <w:pPr>
        <w:ind w:left="360"/>
        <w:jc w:val="both"/>
        <w:rPr>
          <w:color w:val="000000"/>
        </w:rPr>
      </w:pPr>
    </w:p>
    <w:p w:rsidR="00C24203" w:rsidRPr="00BB555C" w:rsidRDefault="00C24203" w:rsidP="00C24203">
      <w:pPr>
        <w:numPr>
          <w:ilvl w:val="0"/>
          <w:numId w:val="2"/>
        </w:numPr>
        <w:jc w:val="both"/>
        <w:rPr>
          <w:color w:val="000000"/>
        </w:rPr>
      </w:pPr>
      <w:r w:rsidRPr="00BB555C">
        <w:rPr>
          <w:color w:val="000000"/>
        </w:rPr>
        <w:t xml:space="preserve">The Panel notes that </w:t>
      </w:r>
      <w:r w:rsidR="002642A4" w:rsidRPr="00BB555C">
        <w:rPr>
          <w:color w:val="000000"/>
        </w:rPr>
        <w:t>t</w:t>
      </w:r>
      <w:r w:rsidRPr="00BB555C">
        <w:rPr>
          <w:color w:val="000000"/>
        </w:rPr>
        <w:t xml:space="preserve">here is no indication that UNMIK Police undertook in this respect any investigative steps such as: interviewing the complainant and other family members, interviewing potential witnesses among </w:t>
      </w:r>
      <w:proofErr w:type="spellStart"/>
      <w:r w:rsidRPr="00BB555C">
        <w:rPr>
          <w:color w:val="000000"/>
        </w:rPr>
        <w:t>neighbours</w:t>
      </w:r>
      <w:proofErr w:type="spellEnd"/>
      <w:r w:rsidRPr="00BB555C">
        <w:rPr>
          <w:color w:val="000000"/>
        </w:rPr>
        <w:t xml:space="preserve">, searching the location where the body was initially found, attempting to identify and locate the person </w:t>
      </w:r>
      <w:r w:rsidR="002642A4" w:rsidRPr="00BB555C">
        <w:rPr>
          <w:color w:val="000000"/>
        </w:rPr>
        <w:t xml:space="preserve">who </w:t>
      </w:r>
      <w:r w:rsidRPr="00BB555C">
        <w:rPr>
          <w:color w:val="000000"/>
        </w:rPr>
        <w:t>had found the body</w:t>
      </w:r>
      <w:r w:rsidR="002642A4" w:rsidRPr="00BB555C">
        <w:rPr>
          <w:color w:val="000000"/>
        </w:rPr>
        <w:t xml:space="preserve"> in order to interview him</w:t>
      </w:r>
      <w:r w:rsidRPr="00BB555C">
        <w:rPr>
          <w:color w:val="000000"/>
        </w:rPr>
        <w:t>.</w:t>
      </w:r>
      <w:r w:rsidR="00594E1E" w:rsidRPr="00BB555C">
        <w:rPr>
          <w:color w:val="000000"/>
        </w:rPr>
        <w:t xml:space="preserve"> Moreover, there are no notes of any action with respect to an investigation being conducted in the file.</w:t>
      </w:r>
    </w:p>
    <w:p w:rsidR="00730823" w:rsidRPr="00BB555C" w:rsidRDefault="00730823" w:rsidP="00730823">
      <w:pPr>
        <w:pStyle w:val="ListParagraph"/>
        <w:tabs>
          <w:tab w:val="left" w:pos="360"/>
        </w:tabs>
        <w:ind w:left="360" w:hanging="360"/>
      </w:pPr>
    </w:p>
    <w:p w:rsidR="00F3341B" w:rsidRPr="00BB555C" w:rsidRDefault="00F3341B" w:rsidP="00F3341B">
      <w:pPr>
        <w:pStyle w:val="ListParagraph"/>
        <w:numPr>
          <w:ilvl w:val="0"/>
          <w:numId w:val="2"/>
        </w:numPr>
        <w:autoSpaceDE w:val="0"/>
        <w:jc w:val="both"/>
        <w:rPr>
          <w:lang w:val="en-GB"/>
        </w:rPr>
      </w:pPr>
      <w:r w:rsidRPr="00BB555C">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BB555C">
        <w:rPr>
          <w:bCs/>
          <w:lang w:val="en-GB"/>
        </w:rPr>
        <w:t>Thus</w:t>
      </w:r>
      <w:r w:rsidRPr="00BB555C">
        <w:rPr>
          <w:lang w:val="en-GB"/>
        </w:rPr>
        <w:t xml:space="preserve">, in accordance with the continuing obligation to investigate (see § </w:t>
      </w:r>
      <w:r w:rsidRPr="00BB555C">
        <w:fldChar w:fldCharType="begin"/>
      </w:r>
      <w:r w:rsidRPr="00BB555C">
        <w:instrText xml:space="preserve"> REF _Ref373950745 \r \h  \* MERGEFORMAT </w:instrText>
      </w:r>
      <w:r w:rsidRPr="00BB555C">
        <w:fldChar w:fldCharType="separate"/>
      </w:r>
      <w:r w:rsidR="00AC127D" w:rsidRPr="00AC127D">
        <w:rPr>
          <w:lang w:val="en-GB"/>
        </w:rPr>
        <w:t>63</w:t>
      </w:r>
      <w:r w:rsidRPr="00BB555C">
        <w:fldChar w:fldCharType="end"/>
      </w:r>
      <w:r w:rsidRPr="00BB555C">
        <w:rPr>
          <w:lang w:val="en-GB"/>
        </w:rPr>
        <w:t xml:space="preserve"> above), the assessment of the whole investigation is brought within the period of the Panel’s jurisdiction.</w:t>
      </w:r>
    </w:p>
    <w:p w:rsidR="007872DC" w:rsidRPr="00BB555C" w:rsidRDefault="007872DC" w:rsidP="007872DC">
      <w:pPr>
        <w:pStyle w:val="ListParagraph"/>
        <w:rPr>
          <w:color w:val="000000"/>
        </w:rPr>
      </w:pPr>
    </w:p>
    <w:p w:rsidR="008A6E2F" w:rsidRPr="00BB555C" w:rsidRDefault="00730823" w:rsidP="000E2607">
      <w:pPr>
        <w:numPr>
          <w:ilvl w:val="0"/>
          <w:numId w:val="2"/>
        </w:numPr>
        <w:jc w:val="both"/>
        <w:rPr>
          <w:color w:val="000000"/>
        </w:rPr>
      </w:pPr>
      <w:r w:rsidRPr="00BB555C">
        <w:rPr>
          <w:color w:val="000000"/>
        </w:rPr>
        <w:t>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w:t>
      </w:r>
      <w:r w:rsidRPr="00BB555C">
        <w:t xml:space="preserve"> well</w:t>
      </w:r>
      <w:r w:rsidRPr="00BB555C">
        <w:rPr>
          <w:b/>
          <w:color w:val="0000CC"/>
        </w:rPr>
        <w:t xml:space="preserve"> </w:t>
      </w:r>
      <w:r w:rsidRPr="00BB555C">
        <w:t>as to inform the relatives of</w:t>
      </w:r>
      <w:r w:rsidRPr="00BB555C">
        <w:rPr>
          <w:b/>
          <w:color w:val="0000CC"/>
        </w:rPr>
        <w:t xml:space="preserve"> </w:t>
      </w:r>
      <w:proofErr w:type="spellStart"/>
      <w:r w:rsidR="007872DC" w:rsidRPr="00BB555C">
        <w:t>Mr</w:t>
      </w:r>
      <w:proofErr w:type="spellEnd"/>
      <w:r w:rsidR="007872DC" w:rsidRPr="00BB555C">
        <w:t xml:space="preserve"> </w:t>
      </w:r>
      <w:proofErr w:type="spellStart"/>
      <w:r w:rsidR="007872DC" w:rsidRPr="00BB555C">
        <w:t>Momčilo</w:t>
      </w:r>
      <w:proofErr w:type="spellEnd"/>
      <w:r w:rsidR="007872DC" w:rsidRPr="00BB555C">
        <w:t xml:space="preserve"> </w:t>
      </w:r>
      <w:proofErr w:type="spellStart"/>
      <w:r w:rsidR="007872DC" w:rsidRPr="00BB555C">
        <w:t>Joksimović</w:t>
      </w:r>
      <w:proofErr w:type="spellEnd"/>
      <w:r w:rsidRPr="00BB555C">
        <w:rPr>
          <w:color w:val="000000"/>
        </w:rPr>
        <w:t xml:space="preserve"> regarding any possible new leads of enquiry</w:t>
      </w:r>
    </w:p>
    <w:p w:rsidR="00730823" w:rsidRPr="00BB555C" w:rsidRDefault="00730823" w:rsidP="00730823">
      <w:pPr>
        <w:pStyle w:val="ListParagraph"/>
        <w:ind w:left="426"/>
        <w:jc w:val="both"/>
        <w:rPr>
          <w:lang w:val="en-GB"/>
        </w:rPr>
      </w:pPr>
    </w:p>
    <w:p w:rsidR="00934F9E" w:rsidRPr="00E10B06" w:rsidRDefault="0050515E" w:rsidP="00E10B06">
      <w:pPr>
        <w:pStyle w:val="ListParagraph"/>
        <w:numPr>
          <w:ilvl w:val="0"/>
          <w:numId w:val="2"/>
        </w:numPr>
        <w:autoSpaceDE w:val="0"/>
        <w:jc w:val="both"/>
        <w:rPr>
          <w:bCs/>
          <w:lang w:val="en-GB"/>
        </w:rPr>
      </w:pPr>
      <w:r w:rsidRPr="00BB555C">
        <w:rPr>
          <w:lang w:val="en-GB"/>
        </w:rPr>
        <w:t>However, there is no evidence in the file that any investigative steps were taken or review ever carried out, accordingly the Panel cannot accept i</w:t>
      </w:r>
      <w:r w:rsidR="008A6E2F" w:rsidRPr="00BB555C">
        <w:rPr>
          <w:lang w:val="en-GB"/>
        </w:rPr>
        <w:t xml:space="preserve">n light of the investigative gaps and the omissions highlighted </w:t>
      </w:r>
      <w:r w:rsidR="00934F9E" w:rsidRPr="00BB555C">
        <w:rPr>
          <w:lang w:val="en-GB"/>
        </w:rPr>
        <w:t>(see §</w:t>
      </w:r>
      <w:r w:rsidR="005D40AD" w:rsidRPr="00BB555C">
        <w:rPr>
          <w:lang w:val="en-GB"/>
        </w:rPr>
        <w:t xml:space="preserve"> </w:t>
      </w:r>
      <w:r w:rsidR="00F16845" w:rsidRPr="00BB555C">
        <w:rPr>
          <w:lang w:val="en-GB"/>
        </w:rPr>
        <w:fldChar w:fldCharType="begin"/>
      </w:r>
      <w:r w:rsidR="00F16845" w:rsidRPr="00BB555C">
        <w:rPr>
          <w:lang w:val="en-GB"/>
        </w:rPr>
        <w:instrText xml:space="preserve"> REF _Ref436740242 \r \h </w:instrText>
      </w:r>
      <w:r w:rsidR="00F3341B" w:rsidRPr="00BB555C">
        <w:rPr>
          <w:lang w:val="en-GB"/>
        </w:rPr>
        <w:instrText xml:space="preserve"> \* MERGEFORMAT </w:instrText>
      </w:r>
      <w:r w:rsidR="00F16845" w:rsidRPr="00BB555C">
        <w:rPr>
          <w:lang w:val="en-GB"/>
        </w:rPr>
      </w:r>
      <w:r w:rsidR="00F16845" w:rsidRPr="00BB555C">
        <w:rPr>
          <w:lang w:val="en-GB"/>
        </w:rPr>
        <w:fldChar w:fldCharType="separate"/>
      </w:r>
      <w:r w:rsidR="00AC127D">
        <w:rPr>
          <w:lang w:val="en-GB"/>
        </w:rPr>
        <w:t>85</w:t>
      </w:r>
      <w:r w:rsidR="00F16845" w:rsidRPr="00BB555C">
        <w:rPr>
          <w:lang w:val="en-GB"/>
        </w:rPr>
        <w:fldChar w:fldCharType="end"/>
      </w:r>
      <w:r w:rsidR="00934F9E" w:rsidRPr="00BB555C">
        <w:rPr>
          <w:lang w:val="en-GB"/>
        </w:rPr>
        <w:t xml:space="preserve"> </w:t>
      </w:r>
      <w:r w:rsidR="005D40AD" w:rsidRPr="00BB555C">
        <w:rPr>
          <w:lang w:val="en-GB"/>
        </w:rPr>
        <w:t>above)</w:t>
      </w:r>
      <w:r w:rsidR="008A6E2F" w:rsidRPr="00BB555C">
        <w:rPr>
          <w:lang w:val="en-GB"/>
        </w:rPr>
        <w:t xml:space="preserve"> </w:t>
      </w:r>
      <w:r w:rsidR="00E62E0E" w:rsidRPr="00BB555C">
        <w:rPr>
          <w:lang w:val="en-GB"/>
        </w:rPr>
        <w:t xml:space="preserve">the SRSG’s argument </w:t>
      </w:r>
      <w:r w:rsidR="008A6E2F" w:rsidRPr="00BB555C">
        <w:rPr>
          <w:lang w:val="en-GB"/>
        </w:rPr>
        <w:t xml:space="preserve">that </w:t>
      </w:r>
      <w:r w:rsidR="00946E87" w:rsidRPr="00BB555C">
        <w:rPr>
          <w:lang w:val="en-GB"/>
        </w:rPr>
        <w:t>the “</w:t>
      </w:r>
      <w:r w:rsidR="00751C23" w:rsidRPr="00BB555C">
        <w:rPr>
          <w:lang w:val="en-GB"/>
        </w:rPr>
        <w:t>little information received by UNMIK regarding the instant matter indicates that during the period under review by the HRAP, UNMIK had no relevant information to develop any investigative leads which UNMIK Police could concretely follow-up</w:t>
      </w:r>
      <w:r w:rsidR="00946E87" w:rsidRPr="00BB555C">
        <w:rPr>
          <w:lang w:val="en-GB"/>
        </w:rPr>
        <w:t>”</w:t>
      </w:r>
      <w:r w:rsidR="008A6E2F" w:rsidRPr="00BB555C">
        <w:rPr>
          <w:bCs/>
          <w:lang w:val="en-GB"/>
        </w:rPr>
        <w:t xml:space="preserve">. </w:t>
      </w:r>
      <w:r w:rsidR="00934F9E" w:rsidRPr="00E10B06">
        <w:rPr>
          <w:bCs/>
          <w:lang w:val="en-GB"/>
        </w:rPr>
        <w:t xml:space="preserve">In this regard, the Panel notes, </w:t>
      </w:r>
      <w:r w:rsidR="00934F9E" w:rsidRPr="00E10B06">
        <w:rPr>
          <w:bCs/>
          <w:i/>
          <w:lang w:val="en-GB"/>
        </w:rPr>
        <w:t>first</w:t>
      </w:r>
      <w:r w:rsidR="00934F9E" w:rsidRPr="00E10B06">
        <w:rPr>
          <w:bCs/>
          <w:lang w:val="en-GB"/>
        </w:rPr>
        <w:t xml:space="preserve">, that information is crucial to any investigation and, </w:t>
      </w:r>
      <w:r w:rsidR="00934F9E" w:rsidRPr="00E10B06">
        <w:rPr>
          <w:bCs/>
          <w:i/>
          <w:lang w:val="en-GB"/>
        </w:rPr>
        <w:t>second</w:t>
      </w:r>
      <w:r w:rsidR="00934F9E" w:rsidRPr="00E10B06">
        <w:rPr>
          <w:bCs/>
          <w:lang w:val="en-GB"/>
        </w:rPr>
        <w:t xml:space="preserve">, that any investigation at its initial stage lacks at least some </w:t>
      </w:r>
      <w:r w:rsidR="00934F9E" w:rsidRPr="00E10B06">
        <w:rPr>
          <w:lang w:val="en-GB"/>
        </w:rPr>
        <w:t>information. Finding the necessary information and evidence to fill those gaps is the main goal of any</w:t>
      </w:r>
      <w:r w:rsidR="00934F9E" w:rsidRPr="00E10B06">
        <w:rPr>
          <w:bCs/>
          <w:lang w:val="en-GB"/>
        </w:rPr>
        <w:t xml:space="preserve"> investigative activity. Therefore, a lack of information should not be used as an argument to defend inaction by the investigative authorities. In this case, however, it appears that, instead of </w:t>
      </w:r>
      <w:r w:rsidR="00934F9E" w:rsidRPr="00E10B06">
        <w:rPr>
          <w:lang w:val="en-GB"/>
        </w:rPr>
        <w:t>actively</w:t>
      </w:r>
      <w:r w:rsidR="00934F9E" w:rsidRPr="00E10B06">
        <w:rPr>
          <w:bCs/>
          <w:lang w:val="en-GB"/>
        </w:rPr>
        <w:t xml:space="preserve"> searching for evidence and leads, UNMIK authorities only waited for further information to appear by itself. In this situation it may have led to the loss of potential evidence (see e.g. HRAP, </w:t>
      </w:r>
      <w:r w:rsidR="00934F9E" w:rsidRPr="00E10B06">
        <w:rPr>
          <w:bCs/>
          <w:i/>
          <w:lang w:val="en-GB"/>
        </w:rPr>
        <w:t>P.S</w:t>
      </w:r>
      <w:r w:rsidR="00934F9E" w:rsidRPr="00E10B06">
        <w:rPr>
          <w:bCs/>
          <w:lang w:val="en-GB"/>
        </w:rPr>
        <w:t xml:space="preserve">., no. 48/09, opinion of 31 October 2013, § 107; </w:t>
      </w:r>
      <w:r w:rsidR="00934F9E" w:rsidRPr="00E10B06">
        <w:rPr>
          <w:bCs/>
          <w:i/>
          <w:lang w:val="en-GB"/>
        </w:rPr>
        <w:t>Stevanović</w:t>
      </w:r>
      <w:r w:rsidR="00934F9E" w:rsidRPr="00E10B06">
        <w:rPr>
          <w:bCs/>
          <w:lang w:val="en-GB"/>
        </w:rPr>
        <w:t xml:space="preserve">, no. 289/09, opinion of 14 December 2014, § 111; </w:t>
      </w:r>
      <w:proofErr w:type="spellStart"/>
      <w:r w:rsidR="00934F9E" w:rsidRPr="00E10B06">
        <w:rPr>
          <w:bCs/>
          <w:i/>
          <w:lang w:val="en-GB"/>
        </w:rPr>
        <w:t>Jelić</w:t>
      </w:r>
      <w:proofErr w:type="spellEnd"/>
      <w:r w:rsidR="00934F9E" w:rsidRPr="00E10B06">
        <w:rPr>
          <w:bCs/>
          <w:lang w:val="en-GB"/>
        </w:rPr>
        <w:t xml:space="preserve">, no. 288/09, opinion of 13 May 2015, § 106). </w:t>
      </w:r>
    </w:p>
    <w:p w:rsidR="008A6E2F" w:rsidRPr="00BB555C" w:rsidRDefault="008A6E2F" w:rsidP="008A6E2F">
      <w:pPr>
        <w:pStyle w:val="ListParagraph"/>
        <w:rPr>
          <w:bCs/>
          <w:lang w:val="en-GB"/>
        </w:rPr>
      </w:pPr>
    </w:p>
    <w:p w:rsidR="001379F7" w:rsidRPr="005D40AD" w:rsidRDefault="009E56EB" w:rsidP="000E2607">
      <w:pPr>
        <w:pStyle w:val="ListParagraph"/>
        <w:numPr>
          <w:ilvl w:val="0"/>
          <w:numId w:val="2"/>
        </w:numPr>
        <w:jc w:val="both"/>
        <w:rPr>
          <w:bCs/>
          <w:lang w:val="en-GB"/>
        </w:rPr>
      </w:pPr>
      <w:bookmarkStart w:id="70" w:name="_Ref436300237"/>
      <w:r w:rsidRPr="00BB555C">
        <w:rPr>
          <w:bCs/>
          <w:lang w:val="en-GB"/>
        </w:rPr>
        <w:t>A</w:t>
      </w:r>
      <w:r w:rsidR="001379F7" w:rsidRPr="00BB555C">
        <w:rPr>
          <w:bCs/>
          <w:lang w:val="en-GB"/>
        </w:rPr>
        <w:t xml:space="preserve">s the Panel has previously observed, UNMIK Police and DOJ had implemented a policy </w:t>
      </w:r>
      <w:r w:rsidR="001379F7" w:rsidRPr="00BB555C">
        <w:rPr>
          <w:lang w:val="en-GB"/>
        </w:rPr>
        <w:t>conserving</w:t>
      </w:r>
      <w:r w:rsidR="001379F7" w:rsidRPr="00BB555C">
        <w:rPr>
          <w:bCs/>
          <w:lang w:val="en-GB"/>
        </w:rPr>
        <w:t xml:space="preserve"> its limited investigative resources and concentrating only on the investigations</w:t>
      </w:r>
      <w:r w:rsidR="001379F7" w:rsidRPr="005D40AD">
        <w:rPr>
          <w:bCs/>
          <w:lang w:val="en-GB"/>
        </w:rPr>
        <w:t xml:space="preserve"> “with a strong likelihood of suspect identification” (see HRAP, </w:t>
      </w:r>
      <w:proofErr w:type="spellStart"/>
      <w:r w:rsidR="001379F7" w:rsidRPr="005D40AD">
        <w:rPr>
          <w:bCs/>
          <w:i/>
          <w:lang w:val="en-GB"/>
        </w:rPr>
        <w:t>Bulatović</w:t>
      </w:r>
      <w:proofErr w:type="spellEnd"/>
      <w:r w:rsidR="001379F7" w:rsidRPr="005D40AD">
        <w:rPr>
          <w:bCs/>
          <w:i/>
          <w:lang w:val="en-GB"/>
        </w:rPr>
        <w:t>,</w:t>
      </w:r>
      <w:r w:rsidR="001379F7" w:rsidRPr="005D40AD">
        <w:rPr>
          <w:bCs/>
          <w:lang w:val="en-GB"/>
        </w:rPr>
        <w:t xml:space="preserve"> no. 275/09, opinion of 22 April 2015, § 149). As the Panel also noted, this approach was in contrast to the description of the situation on the ground presented by the UN Secretary-General to the UN Security Council at around the same time and indicated a serious systemic failure (see ibid.). In the Panel’s view, the effect of this policy</w:t>
      </w:r>
      <w:r w:rsidR="00934F9E">
        <w:rPr>
          <w:bCs/>
          <w:lang w:val="en-GB"/>
        </w:rPr>
        <w:t xml:space="preserve"> may have had a serious impact i</w:t>
      </w:r>
      <w:r w:rsidR="001379F7" w:rsidRPr="005D40AD">
        <w:rPr>
          <w:bCs/>
          <w:lang w:val="en-GB"/>
        </w:rPr>
        <w:t xml:space="preserve">n this particular </w:t>
      </w:r>
      <w:r w:rsidR="00934F9E">
        <w:rPr>
          <w:bCs/>
          <w:lang w:val="en-GB"/>
        </w:rPr>
        <w:t xml:space="preserve">case </w:t>
      </w:r>
      <w:r w:rsidR="001379F7" w:rsidRPr="005D40AD">
        <w:rPr>
          <w:bCs/>
          <w:lang w:val="en-GB"/>
        </w:rPr>
        <w:t>and, possibly, on many others of a similar nature.</w:t>
      </w:r>
      <w:bookmarkEnd w:id="70"/>
    </w:p>
    <w:p w:rsidR="00B30E62" w:rsidRPr="005D40AD" w:rsidRDefault="00B30E62" w:rsidP="00B30E62">
      <w:pPr>
        <w:autoSpaceDE w:val="0"/>
        <w:jc w:val="both"/>
        <w:rPr>
          <w:bCs/>
          <w:lang w:val="en-GB"/>
        </w:rPr>
      </w:pPr>
    </w:p>
    <w:p w:rsidR="00E92DED" w:rsidRPr="005D40AD" w:rsidRDefault="00E92DED" w:rsidP="000E2607">
      <w:pPr>
        <w:pStyle w:val="ListParagraph"/>
        <w:numPr>
          <w:ilvl w:val="0"/>
          <w:numId w:val="2"/>
        </w:numPr>
        <w:jc w:val="both"/>
        <w:rPr>
          <w:lang w:val="en-GB"/>
        </w:rPr>
      </w:pPr>
      <w:r w:rsidRPr="005D40AD">
        <w:rPr>
          <w:lang w:val="en-GB"/>
        </w:rPr>
        <w:t xml:space="preserve">The apparent lack of any </w:t>
      </w:r>
      <w:r w:rsidRPr="005D40AD">
        <w:rPr>
          <w:bCs/>
        </w:rPr>
        <w:t xml:space="preserve">adequate </w:t>
      </w:r>
      <w:r w:rsidR="0072672C" w:rsidRPr="005D40AD">
        <w:rPr>
          <w:bCs/>
        </w:rPr>
        <w:t xml:space="preserve">initial </w:t>
      </w:r>
      <w:r w:rsidRPr="005D40AD">
        <w:rPr>
          <w:lang w:val="en-GB"/>
        </w:rPr>
        <w:t xml:space="preserve">reaction from UNMIK Police, and of any action at later stages, may have suggested to the perpetrators that the authorities were either not able, or not </w:t>
      </w:r>
      <w:r w:rsidRPr="005D40AD">
        <w:rPr>
          <w:lang w:val="en-GB" w:eastAsia="en-GB"/>
        </w:rPr>
        <w:t>willing</w:t>
      </w:r>
      <w:r w:rsidRPr="005D40AD">
        <w:rPr>
          <w:lang w:val="en-GB"/>
        </w:rPr>
        <w:t xml:space="preserve">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E92DED" w:rsidRPr="005D40AD" w:rsidRDefault="00E92DED" w:rsidP="00874A40">
      <w:pPr>
        <w:rPr>
          <w:lang w:val="en-GB"/>
        </w:rPr>
      </w:pPr>
    </w:p>
    <w:p w:rsidR="00E92DED" w:rsidRDefault="00A3383E" w:rsidP="000E2607">
      <w:pPr>
        <w:pStyle w:val="ListParagraph"/>
        <w:numPr>
          <w:ilvl w:val="0"/>
          <w:numId w:val="2"/>
        </w:numPr>
        <w:jc w:val="both"/>
        <w:rPr>
          <w:lang w:val="en-GB"/>
        </w:rPr>
      </w:pPr>
      <w:r w:rsidRPr="005D40AD">
        <w:rPr>
          <w:lang w:val="en-GB"/>
        </w:rPr>
        <w:t xml:space="preserve">Likewise, the file indicates no involvement of a public prosecutor in this investigation during the period under UNMIK’s administration. </w:t>
      </w:r>
      <w:r w:rsidR="00E92DED" w:rsidRPr="005D40AD">
        <w:rPr>
          <w:lang w:val="en-GB"/>
        </w:rPr>
        <w:t xml:space="preserve">As the Panel has </w:t>
      </w:r>
      <w:r w:rsidR="005B1EB1" w:rsidRPr="005D40AD">
        <w:rPr>
          <w:lang w:val="en-GB"/>
        </w:rPr>
        <w:t>pointed out</w:t>
      </w:r>
      <w:r w:rsidR="00E92DED" w:rsidRPr="005D40AD">
        <w:rPr>
          <w:lang w:val="en-GB"/>
        </w:rPr>
        <w:t xml:space="preserve"> previously, a proper prosecutorial review might have resulted in additional recommendations, so that the case would not have remained inactive for years to come (see HRAP, </w:t>
      </w:r>
      <w:r w:rsidR="00E92DED" w:rsidRPr="005D40AD">
        <w:rPr>
          <w:i/>
          <w:lang w:val="en-GB"/>
        </w:rPr>
        <w:t>Stojković</w:t>
      </w:r>
      <w:r w:rsidR="00E92DED" w:rsidRPr="005D40AD">
        <w:rPr>
          <w:lang w:val="en-GB"/>
        </w:rPr>
        <w:t xml:space="preserve">, no. 87/09, opinion of 14 December 2013, § 160). </w:t>
      </w:r>
    </w:p>
    <w:p w:rsidR="00751C23" w:rsidRPr="00751C23" w:rsidRDefault="00751C23" w:rsidP="00751C23">
      <w:pPr>
        <w:pStyle w:val="ListParagraph"/>
        <w:rPr>
          <w:lang w:val="en-GB"/>
        </w:rPr>
      </w:pPr>
    </w:p>
    <w:p w:rsidR="00E44ABC" w:rsidRPr="005D40AD" w:rsidRDefault="00E92DED" w:rsidP="000E2607">
      <w:pPr>
        <w:pStyle w:val="ListParagraph"/>
        <w:numPr>
          <w:ilvl w:val="0"/>
          <w:numId w:val="2"/>
        </w:numPr>
        <w:jc w:val="both"/>
        <w:rPr>
          <w:lang w:val="en-GB"/>
        </w:rPr>
      </w:pPr>
      <w:r w:rsidRPr="005D40AD">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5D40AD">
        <w:fldChar w:fldCharType="begin"/>
      </w:r>
      <w:r w:rsidRPr="005D40AD">
        <w:rPr>
          <w:lang w:val="en-GB"/>
        </w:rPr>
        <w:instrText xml:space="preserve"> REF _Ref404684740 \r \h </w:instrText>
      </w:r>
      <w:r w:rsidRPr="005D40AD">
        <w:instrText xml:space="preserve"> \* MERGEFORMAT </w:instrText>
      </w:r>
      <w:r w:rsidRPr="005D40AD">
        <w:fldChar w:fldCharType="separate"/>
      </w:r>
      <w:r w:rsidR="00AC127D">
        <w:rPr>
          <w:lang w:val="en-GB"/>
        </w:rPr>
        <w:t>62</w:t>
      </w:r>
      <w:r w:rsidRPr="005D40AD">
        <w:fldChar w:fldCharType="end"/>
      </w:r>
      <w:r w:rsidRPr="005D40AD">
        <w:rPr>
          <w:lang w:val="en-GB"/>
        </w:rPr>
        <w:t xml:space="preserve"> above), as required by Article 2 of the ECHR.</w:t>
      </w:r>
    </w:p>
    <w:p w:rsidR="00E92DED" w:rsidRPr="005D40AD" w:rsidRDefault="00E92DED" w:rsidP="00E92DED">
      <w:pPr>
        <w:tabs>
          <w:tab w:val="left" w:pos="709"/>
        </w:tabs>
        <w:suppressAutoHyphens/>
        <w:autoSpaceDE w:val="0"/>
        <w:ind w:left="450"/>
        <w:jc w:val="both"/>
        <w:rPr>
          <w:lang w:val="en-GB"/>
        </w:rPr>
      </w:pPr>
    </w:p>
    <w:p w:rsidR="00E92DED" w:rsidRPr="005D40AD" w:rsidRDefault="00E92DED" w:rsidP="000E2607">
      <w:pPr>
        <w:pStyle w:val="ListParagraph"/>
        <w:numPr>
          <w:ilvl w:val="0"/>
          <w:numId w:val="2"/>
        </w:numPr>
        <w:jc w:val="both"/>
      </w:pPr>
      <w:r w:rsidRPr="005D40AD">
        <w:t xml:space="preserve">As </w:t>
      </w:r>
      <w:r w:rsidRPr="005D40AD">
        <w:rPr>
          <w:lang w:val="en-GB"/>
        </w:rPr>
        <w:t>concerns</w:t>
      </w:r>
      <w:r w:rsidRPr="005D40AD">
        <w:rPr>
          <w:lang w:val="en-GB" w:eastAsia="en-GB"/>
        </w:rPr>
        <w:t xml:space="preserve"> the requirement of </w:t>
      </w:r>
      <w:r w:rsidRPr="005D40AD">
        <w:t>public</w:t>
      </w:r>
      <w:r w:rsidRPr="005D40AD">
        <w:rPr>
          <w:lang w:val="en-GB" w:eastAsia="en-GB"/>
        </w:rPr>
        <w:t xml:space="preserve"> scrutiny, the Panel recalls that Article 2 also requires </w:t>
      </w:r>
      <w:r w:rsidRPr="005D40AD">
        <w:rPr>
          <w:lang w:val="en-GB"/>
        </w:rPr>
        <w:t>the</w:t>
      </w:r>
      <w:r w:rsidRPr="005D40AD">
        <w:rPr>
          <w:lang w:val="en-GB" w:eastAsia="en-GB"/>
        </w:rPr>
        <w:t xml:space="preserve"> victim</w:t>
      </w:r>
      <w:r w:rsidR="0072672C" w:rsidRPr="005D40AD">
        <w:rPr>
          <w:lang w:val="en-GB" w:eastAsia="en-GB"/>
        </w:rPr>
        <w:t>’</w:t>
      </w:r>
      <w:r w:rsidRPr="005D40AD">
        <w:rPr>
          <w:lang w:val="en-GB" w:eastAsia="en-GB"/>
        </w:rPr>
        <w:t>s next-of-kin to be involved in the investigation to the extent necessary to safeguard his or her legitimate interests.</w:t>
      </w:r>
      <w:bookmarkStart w:id="71" w:name="_Ref409183639"/>
      <w:r w:rsidR="00874A40" w:rsidRPr="005D40AD">
        <w:t xml:space="preserve"> </w:t>
      </w:r>
      <w:r w:rsidRPr="005D40AD">
        <w:t>The investigative file shows</w:t>
      </w:r>
      <w:r w:rsidR="008863FA">
        <w:t xml:space="preserve"> no contact with UNMIK police and any family </w:t>
      </w:r>
      <w:r w:rsidR="008863FA" w:rsidRPr="00BB555C">
        <w:t xml:space="preserve">members of </w:t>
      </w:r>
      <w:proofErr w:type="spellStart"/>
      <w:r w:rsidR="008863FA" w:rsidRPr="00BB555C">
        <w:t>Mr</w:t>
      </w:r>
      <w:proofErr w:type="spellEnd"/>
      <w:r w:rsidR="008863FA" w:rsidRPr="00BB555C">
        <w:t xml:space="preserve"> </w:t>
      </w:r>
      <w:proofErr w:type="spellStart"/>
      <w:r w:rsidR="008863FA" w:rsidRPr="00BB555C">
        <w:t>Momčilo</w:t>
      </w:r>
      <w:proofErr w:type="spellEnd"/>
      <w:r w:rsidR="008863FA" w:rsidRPr="00BB555C">
        <w:t xml:space="preserve"> </w:t>
      </w:r>
      <w:proofErr w:type="spellStart"/>
      <w:r w:rsidR="008863FA" w:rsidRPr="00BB555C">
        <w:t>Joksimović</w:t>
      </w:r>
      <w:proofErr w:type="spellEnd"/>
      <w:r w:rsidR="008863FA" w:rsidRPr="00BB555C">
        <w:t>.</w:t>
      </w:r>
      <w:r w:rsidRPr="00BB555C">
        <w:t xml:space="preserve"> </w:t>
      </w:r>
      <w:r w:rsidRPr="00BB555C">
        <w:rPr>
          <w:lang w:val="en-GB"/>
        </w:rPr>
        <w:t>The Panel therefore considers that the investigation was not open to any public scrutiny, as required by</w:t>
      </w:r>
      <w:r w:rsidRPr="005D40AD">
        <w:rPr>
          <w:lang w:val="en-GB"/>
        </w:rPr>
        <w:t xml:space="preserve"> Article 2 of the ECHR</w:t>
      </w:r>
      <w:r w:rsidR="00F251DE" w:rsidRPr="005D40AD">
        <w:rPr>
          <w:lang w:val="en-GB"/>
        </w:rPr>
        <w:t xml:space="preserve"> </w:t>
      </w:r>
      <w:bookmarkEnd w:id="71"/>
      <w:r w:rsidR="0090189C" w:rsidRPr="005D40AD">
        <w:rPr>
          <w:lang w:val="en-GB"/>
        </w:rPr>
        <w:t xml:space="preserve">(see, </w:t>
      </w:r>
      <w:r w:rsidR="0090189C" w:rsidRPr="005D40AD">
        <w:rPr>
          <w:i/>
          <w:iCs/>
          <w:lang w:val="en-GB"/>
        </w:rPr>
        <w:t xml:space="preserve">a </w:t>
      </w:r>
      <w:proofErr w:type="spellStart"/>
      <w:r w:rsidR="0090189C" w:rsidRPr="005D40AD">
        <w:rPr>
          <w:i/>
          <w:iCs/>
          <w:lang w:val="en-GB"/>
        </w:rPr>
        <w:t>contrario</w:t>
      </w:r>
      <w:proofErr w:type="spellEnd"/>
      <w:r w:rsidR="0090189C" w:rsidRPr="005D40AD">
        <w:rPr>
          <w:lang w:val="en-GB"/>
        </w:rPr>
        <w:t xml:space="preserve">,  </w:t>
      </w:r>
      <w:proofErr w:type="spellStart"/>
      <w:r w:rsidR="0090189C" w:rsidRPr="005D40AD">
        <w:rPr>
          <w:lang w:val="en-GB"/>
        </w:rPr>
        <w:t>ECtHR</w:t>
      </w:r>
      <w:proofErr w:type="spellEnd"/>
      <w:r w:rsidR="0090189C" w:rsidRPr="005D40AD">
        <w:rPr>
          <w:lang w:val="en-GB"/>
        </w:rPr>
        <w:t xml:space="preserve"> [GC], </w:t>
      </w:r>
      <w:r w:rsidR="0090189C" w:rsidRPr="005D40AD">
        <w:rPr>
          <w:i/>
          <w:iCs/>
          <w:lang w:val="en-GB"/>
        </w:rPr>
        <w:t xml:space="preserve">Mustafa </w:t>
      </w:r>
      <w:proofErr w:type="spellStart"/>
      <w:r w:rsidR="0090189C" w:rsidRPr="005D40AD">
        <w:rPr>
          <w:i/>
          <w:iCs/>
          <w:lang w:val="en-GB"/>
        </w:rPr>
        <w:t>Tunç</w:t>
      </w:r>
      <w:proofErr w:type="spellEnd"/>
      <w:r w:rsidR="0090189C" w:rsidRPr="005D40AD">
        <w:rPr>
          <w:i/>
          <w:iCs/>
          <w:lang w:val="en-GB"/>
        </w:rPr>
        <w:t xml:space="preserve"> and </w:t>
      </w:r>
      <w:proofErr w:type="spellStart"/>
      <w:r w:rsidR="0090189C" w:rsidRPr="005D40AD">
        <w:rPr>
          <w:i/>
          <w:iCs/>
          <w:lang w:val="en-GB"/>
        </w:rPr>
        <w:t>Fecire</w:t>
      </w:r>
      <w:proofErr w:type="spellEnd"/>
      <w:r w:rsidR="0090189C" w:rsidRPr="005D40AD">
        <w:rPr>
          <w:i/>
          <w:iCs/>
          <w:lang w:val="en-GB"/>
        </w:rPr>
        <w:t xml:space="preserve"> </w:t>
      </w:r>
      <w:proofErr w:type="spellStart"/>
      <w:r w:rsidR="0090189C" w:rsidRPr="005D40AD">
        <w:rPr>
          <w:i/>
          <w:iCs/>
          <w:lang w:val="en-GB"/>
        </w:rPr>
        <w:t>Tunç</w:t>
      </w:r>
      <w:proofErr w:type="spellEnd"/>
      <w:r w:rsidR="0090189C" w:rsidRPr="005D40AD">
        <w:rPr>
          <w:i/>
          <w:iCs/>
          <w:lang w:val="en-GB"/>
        </w:rPr>
        <w:t xml:space="preserve"> v. Turkey</w:t>
      </w:r>
      <w:r w:rsidR="0090189C" w:rsidRPr="005D40AD">
        <w:rPr>
          <w:lang w:val="en-GB"/>
        </w:rPr>
        <w:t>, no. 24</w:t>
      </w:r>
      <w:r w:rsidR="00E84F72" w:rsidRPr="005D40AD">
        <w:rPr>
          <w:lang w:val="en-GB"/>
        </w:rPr>
        <w:t>014/05, judgment of 14 April 201</w:t>
      </w:r>
      <w:r w:rsidR="0090189C" w:rsidRPr="005D40AD">
        <w:rPr>
          <w:lang w:val="en-GB"/>
        </w:rPr>
        <w:t>5, §§ 210 - 216).</w:t>
      </w:r>
    </w:p>
    <w:p w:rsidR="00E92DED" w:rsidRPr="005D40AD" w:rsidRDefault="00E92DED" w:rsidP="00874A40">
      <w:pPr>
        <w:rPr>
          <w:lang w:val="en-GB"/>
        </w:rPr>
      </w:pPr>
    </w:p>
    <w:p w:rsidR="00E92DED" w:rsidRPr="005D40AD" w:rsidRDefault="00D92178" w:rsidP="000E2607">
      <w:pPr>
        <w:pStyle w:val="ListParagraph"/>
        <w:numPr>
          <w:ilvl w:val="0"/>
          <w:numId w:val="2"/>
        </w:numPr>
        <w:jc w:val="both"/>
      </w:pPr>
      <w:r w:rsidRPr="005D40AD">
        <w:rPr>
          <w:lang w:val="en-GB"/>
        </w:rPr>
        <w:t>I</w:t>
      </w:r>
      <w:r w:rsidR="00E92DED" w:rsidRPr="005D40AD">
        <w:rPr>
          <w:lang w:val="en-GB"/>
        </w:rPr>
        <w:t>n light of the shortcomings and deficiencies in the investigation described above,</w:t>
      </w:r>
      <w:r w:rsidRPr="005D40AD">
        <w:rPr>
          <w:lang w:val="en-GB"/>
        </w:rPr>
        <w:t xml:space="preserve"> the Panel</w:t>
      </w:r>
      <w:r w:rsidR="00E92DED" w:rsidRPr="005D40AD">
        <w:rPr>
          <w:lang w:val="en-GB"/>
        </w:rPr>
        <w:t xml:space="preserve"> considers that the case of </w:t>
      </w:r>
      <w:proofErr w:type="spellStart"/>
      <w:r w:rsidR="003443B0">
        <w:t>Mr</w:t>
      </w:r>
      <w:proofErr w:type="spellEnd"/>
      <w:r w:rsidR="003443B0">
        <w:t xml:space="preserve"> </w:t>
      </w:r>
      <w:proofErr w:type="spellStart"/>
      <w:r w:rsidR="003443B0">
        <w:t>Momčilo</w:t>
      </w:r>
      <w:proofErr w:type="spellEnd"/>
      <w:r w:rsidR="003443B0">
        <w:t xml:space="preserve"> </w:t>
      </w:r>
      <w:proofErr w:type="spellStart"/>
      <w:r w:rsidR="003443B0">
        <w:t>Joksimović</w:t>
      </w:r>
      <w:proofErr w:type="spellEnd"/>
      <w:r w:rsidR="00E92DED" w:rsidRPr="005D40AD">
        <w:rPr>
          <w:lang w:val="en-GB"/>
        </w:rPr>
        <w:t xml:space="preserve">, as well as other cases of killings, abductions and </w:t>
      </w:r>
      <w:r w:rsidR="00E92DED" w:rsidRPr="005D40AD">
        <w:rPr>
          <w:lang w:val="en-GB" w:eastAsia="en-GB"/>
        </w:rPr>
        <w:t>disappearances</w:t>
      </w:r>
      <w:r w:rsidR="00E92DED" w:rsidRPr="005D40AD">
        <w:rPr>
          <w:lang w:val="en-GB"/>
        </w:rPr>
        <w:t xml:space="preserve"> previously examined, well exemplify a pattern </w:t>
      </w:r>
      <w:r w:rsidR="00E92DED" w:rsidRPr="005D40AD">
        <w:t xml:space="preserve">of perfunctory and </w:t>
      </w:r>
      <w:r w:rsidR="00E92DED" w:rsidRPr="005D40AD">
        <w:rPr>
          <w:lang w:val="en-GB"/>
        </w:rPr>
        <w:t xml:space="preserve">unproductive investigations conducted by the UNMIK Police into killings and disappearances in Kosovo (see § </w:t>
      </w:r>
      <w:r w:rsidR="00E92DED" w:rsidRPr="005D40AD">
        <w:rPr>
          <w:lang w:val="en-GB"/>
        </w:rPr>
        <w:fldChar w:fldCharType="begin"/>
      </w:r>
      <w:r w:rsidR="00E92DED" w:rsidRPr="005D40AD">
        <w:rPr>
          <w:lang w:val="en-GB"/>
        </w:rPr>
        <w:instrText xml:space="preserve"> REF _Ref403834230 \r \h  \* MERGEFORMAT </w:instrText>
      </w:r>
      <w:r w:rsidR="00E92DED" w:rsidRPr="005D40AD">
        <w:rPr>
          <w:lang w:val="en-GB"/>
        </w:rPr>
      </w:r>
      <w:r w:rsidR="00E92DED" w:rsidRPr="005D40AD">
        <w:rPr>
          <w:lang w:val="en-GB"/>
        </w:rPr>
        <w:fldChar w:fldCharType="separate"/>
      </w:r>
      <w:r w:rsidR="00AC127D">
        <w:rPr>
          <w:lang w:val="en-GB"/>
        </w:rPr>
        <w:t>76</w:t>
      </w:r>
      <w:r w:rsidR="00E92DED" w:rsidRPr="005D40AD">
        <w:rPr>
          <w:lang w:val="en-GB"/>
        </w:rPr>
        <w:fldChar w:fldCharType="end"/>
      </w:r>
      <w:r w:rsidR="00E92DED" w:rsidRPr="005D40AD">
        <w:rPr>
          <w:lang w:val="en-GB"/>
        </w:rPr>
        <w:t xml:space="preserve"> above; compare with HRC, </w:t>
      </w:r>
      <w:r w:rsidR="00E92DED" w:rsidRPr="005D40AD">
        <w:rPr>
          <w:i/>
          <w:lang w:val="en-GB"/>
        </w:rPr>
        <w:t>Abubakar Amirov and Aïzan Amirova v. Russian Federation</w:t>
      </w:r>
      <w:r w:rsidR="00E92DED" w:rsidRPr="005D40AD">
        <w:rPr>
          <w:lang w:val="en-GB"/>
        </w:rPr>
        <w:t xml:space="preserve">, cited in § </w:t>
      </w:r>
      <w:r w:rsidR="00E92DED" w:rsidRPr="005D40AD">
        <w:rPr>
          <w:lang w:val="en-GB"/>
        </w:rPr>
        <w:fldChar w:fldCharType="begin"/>
      </w:r>
      <w:r w:rsidR="00E92DED" w:rsidRPr="005D40AD">
        <w:rPr>
          <w:lang w:val="en-GB"/>
        </w:rPr>
        <w:instrText xml:space="preserve"> REF _Ref404685440 \r \h  \* MERGEFORMAT </w:instrText>
      </w:r>
      <w:r w:rsidR="00E92DED" w:rsidRPr="005D40AD">
        <w:rPr>
          <w:lang w:val="en-GB"/>
        </w:rPr>
      </w:r>
      <w:r w:rsidR="00E92DED" w:rsidRPr="005D40AD">
        <w:rPr>
          <w:lang w:val="en-GB"/>
        </w:rPr>
        <w:fldChar w:fldCharType="separate"/>
      </w:r>
      <w:r w:rsidR="00AC127D">
        <w:rPr>
          <w:lang w:val="en-GB"/>
        </w:rPr>
        <w:t>72</w:t>
      </w:r>
      <w:r w:rsidR="00E92DED" w:rsidRPr="005D40AD">
        <w:rPr>
          <w:lang w:val="en-GB"/>
        </w:rPr>
        <w:fldChar w:fldCharType="end"/>
      </w:r>
      <w:r w:rsidR="00E92DED" w:rsidRPr="005D40AD">
        <w:rPr>
          <w:lang w:val="en-GB"/>
        </w:rPr>
        <w:t xml:space="preserve"> above, at § 11.4, and </w:t>
      </w:r>
      <w:proofErr w:type="spellStart"/>
      <w:r w:rsidR="00E92DED" w:rsidRPr="005D40AD">
        <w:rPr>
          <w:lang w:val="en-GB"/>
        </w:rPr>
        <w:t>ECtHR</w:t>
      </w:r>
      <w:proofErr w:type="spellEnd"/>
      <w:r w:rsidR="00E92DED" w:rsidRPr="005D40AD">
        <w:rPr>
          <w:lang w:val="en-GB"/>
        </w:rPr>
        <w:t>,</w:t>
      </w:r>
      <w:r w:rsidR="00E92DED" w:rsidRPr="005D40AD">
        <w:rPr>
          <w:i/>
        </w:rPr>
        <w:t xml:space="preserve"> </w:t>
      </w:r>
      <w:proofErr w:type="spellStart"/>
      <w:r w:rsidR="00E92DED" w:rsidRPr="005D40AD">
        <w:rPr>
          <w:i/>
        </w:rPr>
        <w:t>Aslakhanova</w:t>
      </w:r>
      <w:proofErr w:type="spellEnd"/>
      <w:r w:rsidR="00E92DED" w:rsidRPr="005D40AD">
        <w:rPr>
          <w:i/>
        </w:rPr>
        <w:t xml:space="preserve"> and Others v. Russia</w:t>
      </w:r>
      <w:r w:rsidR="00E92DED" w:rsidRPr="005D40AD">
        <w:rPr>
          <w:lang w:val="en-GB"/>
        </w:rPr>
        <w:t>,</w:t>
      </w:r>
      <w:r w:rsidR="00E92DED" w:rsidRPr="005D40AD">
        <w:t xml:space="preserve"> cited in</w:t>
      </w:r>
      <w:r w:rsidR="00E92DED" w:rsidRPr="005D40AD">
        <w:rPr>
          <w:lang w:val="en-GB"/>
        </w:rPr>
        <w:t xml:space="preserve"> § </w:t>
      </w:r>
      <w:r w:rsidR="00E92DED" w:rsidRPr="005D40AD">
        <w:rPr>
          <w:lang w:val="en-GB"/>
        </w:rPr>
        <w:fldChar w:fldCharType="begin"/>
      </w:r>
      <w:r w:rsidR="00E92DED" w:rsidRPr="005D40AD">
        <w:rPr>
          <w:lang w:val="en-GB"/>
        </w:rPr>
        <w:instrText xml:space="preserve"> REF _Ref373950745 \r \h  \* MERGEFORMAT </w:instrText>
      </w:r>
      <w:r w:rsidR="00E92DED" w:rsidRPr="005D40AD">
        <w:rPr>
          <w:lang w:val="en-GB"/>
        </w:rPr>
      </w:r>
      <w:r w:rsidR="00E92DED" w:rsidRPr="005D40AD">
        <w:rPr>
          <w:lang w:val="en-GB"/>
        </w:rPr>
        <w:fldChar w:fldCharType="separate"/>
      </w:r>
      <w:r w:rsidR="00AC127D">
        <w:rPr>
          <w:lang w:val="en-GB"/>
        </w:rPr>
        <w:t>63</w:t>
      </w:r>
      <w:r w:rsidR="00E92DED" w:rsidRPr="005D40AD">
        <w:rPr>
          <w:lang w:val="en-GB"/>
        </w:rPr>
        <w:fldChar w:fldCharType="end"/>
      </w:r>
      <w:r w:rsidR="00E92DED" w:rsidRPr="005D40AD">
        <w:rPr>
          <w:lang w:val="en-GB"/>
        </w:rPr>
        <w:t xml:space="preserve"> above</w:t>
      </w:r>
      <w:r w:rsidR="006832A5">
        <w:rPr>
          <w:lang w:val="en-GB"/>
        </w:rPr>
        <w:t>, at</w:t>
      </w:r>
      <w:r w:rsidR="00E92DED" w:rsidRPr="005D40AD">
        <w:rPr>
          <w:lang w:val="en-GB"/>
        </w:rPr>
        <w:t xml:space="preserve"> § 123; HRAP, </w:t>
      </w:r>
      <w:proofErr w:type="spellStart"/>
      <w:r w:rsidR="00E92DED" w:rsidRPr="005D40AD">
        <w:rPr>
          <w:i/>
          <w:lang w:val="en-GB"/>
        </w:rPr>
        <w:t>Bulatović</w:t>
      </w:r>
      <w:proofErr w:type="spellEnd"/>
      <w:r w:rsidR="00E92DED" w:rsidRPr="005D40AD">
        <w:rPr>
          <w:lang w:val="en-GB"/>
        </w:rPr>
        <w:t>, cited in §</w:t>
      </w:r>
      <w:r w:rsidR="000E2607">
        <w:rPr>
          <w:lang w:val="en-GB"/>
        </w:rPr>
        <w:t xml:space="preserve"> </w:t>
      </w:r>
      <w:r w:rsidR="000E2607">
        <w:rPr>
          <w:lang w:val="en-GB"/>
        </w:rPr>
        <w:fldChar w:fldCharType="begin"/>
      </w:r>
      <w:r w:rsidR="000E2607">
        <w:rPr>
          <w:lang w:val="en-GB"/>
        </w:rPr>
        <w:instrText xml:space="preserve"> REF _Ref436300237 \r \h </w:instrText>
      </w:r>
      <w:r w:rsidR="000E2607">
        <w:rPr>
          <w:lang w:val="en-GB"/>
        </w:rPr>
      </w:r>
      <w:r w:rsidR="000E2607">
        <w:rPr>
          <w:lang w:val="en-GB"/>
        </w:rPr>
        <w:fldChar w:fldCharType="separate"/>
      </w:r>
      <w:r w:rsidR="00AC127D">
        <w:rPr>
          <w:lang w:val="en-GB"/>
        </w:rPr>
        <w:t>92</w:t>
      </w:r>
      <w:r w:rsidR="000E2607">
        <w:rPr>
          <w:lang w:val="en-GB"/>
        </w:rPr>
        <w:fldChar w:fldCharType="end"/>
      </w:r>
      <w:r w:rsidR="00E92DED" w:rsidRPr="005D40AD">
        <w:rPr>
          <w:lang w:val="en-GB"/>
        </w:rPr>
        <w:t xml:space="preserve"> above, at §§ 85 and 101).</w:t>
      </w:r>
    </w:p>
    <w:p w:rsidR="00E92DED" w:rsidRPr="005D40AD" w:rsidRDefault="00E92DED" w:rsidP="00E92DED">
      <w:pPr>
        <w:pStyle w:val="ListParagraph"/>
        <w:rPr>
          <w:lang w:val="en-GB"/>
        </w:rPr>
      </w:pPr>
    </w:p>
    <w:p w:rsidR="00E92DED" w:rsidRDefault="00E92DED" w:rsidP="000E2607">
      <w:pPr>
        <w:pStyle w:val="ListParagraph"/>
        <w:numPr>
          <w:ilvl w:val="0"/>
          <w:numId w:val="2"/>
        </w:numPr>
        <w:jc w:val="both"/>
        <w:rPr>
          <w:lang w:val="en-GB"/>
        </w:rPr>
      </w:pPr>
      <w:r w:rsidRPr="005D40AD">
        <w:rPr>
          <w:lang w:val="en-GB" w:eastAsia="en-GB"/>
        </w:rPr>
        <w:t>Therefore</w:t>
      </w:r>
      <w:r w:rsidRPr="005D40AD">
        <w:rPr>
          <w:lang w:val="en-GB"/>
        </w:rPr>
        <w:t xml:space="preserve">, the Panel concludes that UNMIK failed to carry out an </w:t>
      </w:r>
      <w:r w:rsidRPr="005D40AD">
        <w:rPr>
          <w:lang w:val="en-GB" w:eastAsia="en-GB"/>
        </w:rPr>
        <w:t>effective</w:t>
      </w:r>
      <w:r w:rsidRPr="005D40AD">
        <w:rPr>
          <w:lang w:val="en-GB"/>
        </w:rPr>
        <w:t xml:space="preserve"> investigation into the</w:t>
      </w:r>
      <w:r w:rsidR="00874A40" w:rsidRPr="005D40AD">
        <w:rPr>
          <w:lang w:val="en-GB"/>
        </w:rPr>
        <w:t xml:space="preserve"> </w:t>
      </w:r>
      <w:r w:rsidR="00B90839" w:rsidRPr="005D40AD">
        <w:rPr>
          <w:lang w:val="en-GB"/>
        </w:rPr>
        <w:t>abduction and killing</w:t>
      </w:r>
      <w:r w:rsidRPr="005D40AD">
        <w:rPr>
          <w:lang w:val="en-GB"/>
        </w:rPr>
        <w:t xml:space="preserve"> </w:t>
      </w:r>
      <w:r w:rsidRPr="005D40AD">
        <w:rPr>
          <w:bCs/>
          <w:lang w:val="en-GB"/>
        </w:rPr>
        <w:t xml:space="preserve">of </w:t>
      </w:r>
      <w:proofErr w:type="spellStart"/>
      <w:r w:rsidR="003443B0">
        <w:t>Mr</w:t>
      </w:r>
      <w:proofErr w:type="spellEnd"/>
      <w:r w:rsidR="003443B0">
        <w:t xml:space="preserve"> </w:t>
      </w:r>
      <w:proofErr w:type="spellStart"/>
      <w:r w:rsidR="003443B0">
        <w:t>Momčilo</w:t>
      </w:r>
      <w:proofErr w:type="spellEnd"/>
      <w:r w:rsidR="003443B0">
        <w:t xml:space="preserve"> </w:t>
      </w:r>
      <w:proofErr w:type="spellStart"/>
      <w:r w:rsidR="003443B0">
        <w:t>Joksimović</w:t>
      </w:r>
      <w:proofErr w:type="spellEnd"/>
      <w:r w:rsidRPr="005D40AD">
        <w:t xml:space="preserve">. </w:t>
      </w:r>
      <w:r w:rsidRPr="005D40AD">
        <w:rPr>
          <w:lang w:val="en-GB"/>
        </w:rPr>
        <w:t xml:space="preserve">There </w:t>
      </w:r>
      <w:r w:rsidRPr="005D40AD">
        <w:rPr>
          <w:lang w:val="en-GB" w:eastAsia="en-GB"/>
        </w:rPr>
        <w:t>has</w:t>
      </w:r>
      <w:r w:rsidRPr="005D40AD">
        <w:rPr>
          <w:lang w:val="en-GB"/>
        </w:rPr>
        <w:t xml:space="preserve"> accordingly been a violation of Article 2, procedural limb, of the ECHR. </w:t>
      </w:r>
    </w:p>
    <w:p w:rsidR="008863FA" w:rsidRPr="008863FA" w:rsidRDefault="008863FA" w:rsidP="008863FA">
      <w:pPr>
        <w:pStyle w:val="ListParagraph"/>
        <w:rPr>
          <w:lang w:val="en-GB"/>
        </w:rPr>
      </w:pPr>
    </w:p>
    <w:p w:rsidR="00711F6E" w:rsidRPr="005D40AD" w:rsidRDefault="00711F6E" w:rsidP="00FE3DCB">
      <w:pPr>
        <w:numPr>
          <w:ilvl w:val="0"/>
          <w:numId w:val="1"/>
        </w:numPr>
        <w:suppressAutoHyphens/>
        <w:autoSpaceDE w:val="0"/>
        <w:ind w:left="360" w:hanging="360"/>
        <w:jc w:val="both"/>
        <w:rPr>
          <w:lang w:val="en-GB"/>
        </w:rPr>
      </w:pPr>
      <w:r w:rsidRPr="00FE3DCB">
        <w:rPr>
          <w:b/>
          <w:bCs/>
          <w:lang w:val="en-GB"/>
        </w:rPr>
        <w:t>CONCLUDING</w:t>
      </w:r>
      <w:r w:rsidRPr="005D40AD">
        <w:rPr>
          <w:b/>
          <w:lang w:val="en-GB"/>
        </w:rPr>
        <w:t xml:space="preserve"> </w:t>
      </w:r>
      <w:r w:rsidRPr="005D40AD">
        <w:rPr>
          <w:b/>
          <w:bCs/>
          <w:lang w:val="en-GB"/>
        </w:rPr>
        <w:t>COMMENTS</w:t>
      </w:r>
      <w:r w:rsidRPr="005D40AD">
        <w:rPr>
          <w:b/>
          <w:lang w:val="en-GB"/>
        </w:rPr>
        <w:t xml:space="preserve"> AND RECOMMENDATIONS</w:t>
      </w:r>
    </w:p>
    <w:p w:rsidR="00711F6E" w:rsidRPr="005D40AD" w:rsidRDefault="00711F6E" w:rsidP="00711F6E">
      <w:pPr>
        <w:pStyle w:val="ListParagraph"/>
        <w:rPr>
          <w:lang w:val="en-GB"/>
        </w:rPr>
      </w:pPr>
    </w:p>
    <w:p w:rsidR="00711F6E" w:rsidRPr="005D40AD" w:rsidRDefault="00711F6E" w:rsidP="000C4FC3">
      <w:pPr>
        <w:pStyle w:val="ListParagraph"/>
        <w:numPr>
          <w:ilvl w:val="0"/>
          <w:numId w:val="2"/>
        </w:numPr>
        <w:tabs>
          <w:tab w:val="left" w:pos="450"/>
        </w:tabs>
        <w:autoSpaceDE w:val="0"/>
        <w:jc w:val="both"/>
        <w:rPr>
          <w:b/>
          <w:bCs/>
          <w:lang w:val="en-GB"/>
        </w:rPr>
      </w:pPr>
      <w:r w:rsidRPr="005D40AD">
        <w:rPr>
          <w:lang w:val="en-GB"/>
        </w:rPr>
        <w:t>In light of the Panel’s findings in this case, the Panel is of the opinion that some form of reparation is necessary.</w:t>
      </w:r>
    </w:p>
    <w:p w:rsidR="00711F6E" w:rsidRPr="005D40AD" w:rsidRDefault="00711F6E" w:rsidP="00711F6E">
      <w:pPr>
        <w:pStyle w:val="ListParagraph"/>
        <w:tabs>
          <w:tab w:val="num" w:pos="450"/>
        </w:tabs>
        <w:ind w:left="450" w:hanging="450"/>
        <w:rPr>
          <w:lang w:val="en-GB"/>
        </w:rPr>
      </w:pPr>
    </w:p>
    <w:p w:rsidR="00711F6E" w:rsidRPr="005D40AD" w:rsidRDefault="00711F6E" w:rsidP="00FE3DCB">
      <w:pPr>
        <w:pStyle w:val="ListParagraph"/>
        <w:numPr>
          <w:ilvl w:val="0"/>
          <w:numId w:val="2"/>
        </w:numPr>
        <w:tabs>
          <w:tab w:val="clear" w:pos="360"/>
          <w:tab w:val="num" w:pos="426"/>
        </w:tabs>
        <w:autoSpaceDE w:val="0"/>
        <w:ind w:left="426" w:hanging="426"/>
        <w:jc w:val="both"/>
        <w:rPr>
          <w:b/>
          <w:bCs/>
          <w:lang w:val="en-GB"/>
        </w:rPr>
      </w:pPr>
      <w:r w:rsidRPr="005D40AD">
        <w:rPr>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w:t>
      </w:r>
      <w:r w:rsidR="006E0599" w:rsidRPr="005D40AD">
        <w:rPr>
          <w:lang w:val="en-GB"/>
        </w:rPr>
        <w:t xml:space="preserve"> </w:t>
      </w:r>
      <w:r w:rsidR="005668EE" w:rsidRPr="005D40AD">
        <w:rPr>
          <w:lang w:val="en-GB"/>
        </w:rPr>
        <w:t>abduction and killing</w:t>
      </w:r>
      <w:r w:rsidR="00AD7F08" w:rsidRPr="005D40AD">
        <w:rPr>
          <w:lang w:val="en-GB"/>
        </w:rPr>
        <w:t xml:space="preserve"> of </w:t>
      </w:r>
      <w:proofErr w:type="spellStart"/>
      <w:r w:rsidR="003443B0">
        <w:t>Mr</w:t>
      </w:r>
      <w:proofErr w:type="spellEnd"/>
      <w:r w:rsidR="003443B0">
        <w:t xml:space="preserve"> </w:t>
      </w:r>
      <w:proofErr w:type="spellStart"/>
      <w:r w:rsidR="003443B0">
        <w:t>Momčilo</w:t>
      </w:r>
      <w:proofErr w:type="spellEnd"/>
      <w:r w:rsidR="003443B0">
        <w:t xml:space="preserve"> </w:t>
      </w:r>
      <w:proofErr w:type="spellStart"/>
      <w:r w:rsidR="003443B0">
        <w:t>Joksimović</w:t>
      </w:r>
      <w:proofErr w:type="spellEnd"/>
      <w:r w:rsidRPr="005D40AD">
        <w:rPr>
          <w:lang w:val="en-GB"/>
        </w:rPr>
        <w:t>, and that its failure to do so constitutes a further serious violat</w:t>
      </w:r>
      <w:r w:rsidR="000D2756" w:rsidRPr="005D40AD">
        <w:rPr>
          <w:lang w:val="en-GB"/>
        </w:rPr>
        <w:t xml:space="preserve">ion of </w:t>
      </w:r>
      <w:r w:rsidR="00874A40" w:rsidRPr="005D40AD">
        <w:rPr>
          <w:lang w:val="en-GB"/>
        </w:rPr>
        <w:t xml:space="preserve">the rights of the victim and </w:t>
      </w:r>
      <w:r w:rsidR="00C70AD7" w:rsidRPr="005D40AD">
        <w:rPr>
          <w:lang w:val="en-GB"/>
        </w:rPr>
        <w:t>his</w:t>
      </w:r>
      <w:r w:rsidRPr="005D40AD">
        <w:rPr>
          <w:lang w:val="en-GB"/>
        </w:rPr>
        <w:t xml:space="preserve"> next-of-kin, in particular the right to have the truth of the matter determined. </w:t>
      </w:r>
    </w:p>
    <w:p w:rsidR="00711F6E" w:rsidRPr="005D40AD" w:rsidRDefault="00711F6E" w:rsidP="00711F6E">
      <w:pPr>
        <w:pStyle w:val="ListParagraph"/>
        <w:tabs>
          <w:tab w:val="num" w:pos="450"/>
        </w:tabs>
        <w:ind w:left="450" w:hanging="450"/>
        <w:rPr>
          <w:lang w:val="en-GB"/>
        </w:rPr>
      </w:pPr>
    </w:p>
    <w:p w:rsidR="00711F6E" w:rsidRPr="005D40AD" w:rsidRDefault="00711F6E" w:rsidP="00FE3DCB">
      <w:pPr>
        <w:pStyle w:val="ListParagraph"/>
        <w:numPr>
          <w:ilvl w:val="0"/>
          <w:numId w:val="2"/>
        </w:numPr>
        <w:tabs>
          <w:tab w:val="clear" w:pos="360"/>
          <w:tab w:val="num" w:pos="426"/>
        </w:tabs>
        <w:autoSpaceDE w:val="0"/>
        <w:ind w:left="426" w:hanging="426"/>
        <w:jc w:val="both"/>
        <w:rPr>
          <w:bCs/>
          <w:lang w:val="en-GB"/>
        </w:rPr>
      </w:pPr>
      <w:r w:rsidRPr="005D40AD">
        <w:rPr>
          <w:bCs/>
          <w:lang w:val="en-GB"/>
        </w:rPr>
        <w:t xml:space="preserve">The </w:t>
      </w:r>
      <w:r w:rsidRPr="005D40AD">
        <w:rPr>
          <w:lang w:val="en-GB"/>
        </w:rPr>
        <w:t>Panel</w:t>
      </w:r>
      <w:r w:rsidRPr="005D40AD">
        <w:rPr>
          <w:bCs/>
          <w:lang w:val="en-GB"/>
        </w:rPr>
        <w:t xml:space="preserve"> </w:t>
      </w:r>
      <w:r w:rsidRPr="005D40AD">
        <w:rPr>
          <w:lang w:val="en-GB"/>
        </w:rPr>
        <w:t>notes</w:t>
      </w:r>
      <w:r w:rsidRPr="005D40AD">
        <w:rPr>
          <w:bCs/>
          <w:lang w:val="en-GB"/>
        </w:rPr>
        <w:t xml:space="preserve"> the SRSG’s own concerns that the inadequate resources, especially at the outset of </w:t>
      </w:r>
      <w:r w:rsidRPr="005D40AD">
        <w:rPr>
          <w:lang w:val="en-GB"/>
        </w:rPr>
        <w:t>UNMIK’s</w:t>
      </w:r>
      <w:r w:rsidRPr="005D40AD">
        <w:rPr>
          <w:bCs/>
          <w:lang w:val="en-GB"/>
        </w:rPr>
        <w:t xml:space="preserve"> mission, made compliance with UNMIK’s human rights obligations difficult to achieve.</w:t>
      </w:r>
    </w:p>
    <w:p w:rsidR="00711F6E" w:rsidRPr="005D40AD" w:rsidRDefault="00711F6E" w:rsidP="00711F6E">
      <w:pPr>
        <w:pStyle w:val="ListParagraph"/>
        <w:tabs>
          <w:tab w:val="num" w:pos="450"/>
        </w:tabs>
        <w:ind w:left="450" w:hanging="450"/>
        <w:rPr>
          <w:lang w:val="en-GB"/>
        </w:rPr>
      </w:pPr>
    </w:p>
    <w:p w:rsidR="00711F6E" w:rsidRPr="005D40AD" w:rsidRDefault="00711F6E" w:rsidP="00FE3DCB">
      <w:pPr>
        <w:pStyle w:val="ListParagraph"/>
        <w:numPr>
          <w:ilvl w:val="0"/>
          <w:numId w:val="2"/>
        </w:numPr>
        <w:tabs>
          <w:tab w:val="clear" w:pos="360"/>
          <w:tab w:val="num" w:pos="426"/>
        </w:tabs>
        <w:autoSpaceDE w:val="0"/>
        <w:ind w:left="426" w:hanging="426"/>
        <w:jc w:val="both"/>
        <w:rPr>
          <w:lang w:val="en-GB"/>
        </w:rPr>
      </w:pPr>
      <w:r w:rsidRPr="005D40AD">
        <w:rPr>
          <w:lang w:val="en-GB"/>
        </w:rPr>
        <w:t xml:space="preserve">It </w:t>
      </w:r>
      <w:r w:rsidRPr="005D40AD">
        <w:rPr>
          <w:bCs/>
          <w:lang w:val="en-GB"/>
        </w:rPr>
        <w:t>would</w:t>
      </w:r>
      <w:r w:rsidRPr="005D40AD">
        <w:rPr>
          <w:lang w:val="en-GB"/>
        </w:rPr>
        <w:t xml:space="preserve"> normally be for UNMIK to take the appropriate measures in order to put an end to the violation noted and to redress as far as possible the effects thereof. However, as the Panel noted above (see § </w:t>
      </w:r>
      <w:r w:rsidR="000D2756" w:rsidRPr="005D40AD">
        <w:fldChar w:fldCharType="begin"/>
      </w:r>
      <w:r w:rsidR="000D2756" w:rsidRPr="005D40AD">
        <w:rPr>
          <w:lang w:val="en-GB"/>
        </w:rPr>
        <w:instrText xml:space="preserve"> REF _Ref346123927 \r \h </w:instrText>
      </w:r>
      <w:r w:rsidR="000D2756" w:rsidRPr="005D40AD">
        <w:instrText xml:space="preserve"> \* MERGEFORMAT </w:instrText>
      </w:r>
      <w:r w:rsidR="000D2756" w:rsidRPr="005D40AD">
        <w:fldChar w:fldCharType="separate"/>
      </w:r>
      <w:r w:rsidR="00AC127D">
        <w:rPr>
          <w:lang w:val="en-GB"/>
        </w:rPr>
        <w:t>19</w:t>
      </w:r>
      <w:r w:rsidR="000D2756" w:rsidRPr="005D40AD">
        <w:fldChar w:fldCharType="end"/>
      </w:r>
      <w:r w:rsidRPr="005D40AD">
        <w:rPr>
          <w:lang w:val="en-GB"/>
        </w:rPr>
        <w:t xml:space="preserve"> above), UNMIK’s responsibility with regard to the administration of justice in </w:t>
      </w:r>
      <w:r w:rsidRPr="00FE3DCB">
        <w:rPr>
          <w:bCs/>
          <w:lang w:val="en-GB"/>
        </w:rPr>
        <w:t>Kosovo</w:t>
      </w:r>
      <w:r w:rsidRPr="005D40AD">
        <w:rPr>
          <w:lang w:val="en-GB"/>
        </w:rPr>
        <w:t xml:space="preserve">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5D40AD">
        <w:rPr>
          <w:bCs/>
          <w:lang w:val="en-GB"/>
        </w:rPr>
        <w:t>human</w:t>
      </w:r>
      <w:r w:rsidRPr="005D40AD">
        <w:rPr>
          <w:lang w:val="en-GB"/>
        </w:rPr>
        <w:t xml:space="preserve"> rights law.  </w:t>
      </w:r>
    </w:p>
    <w:p w:rsidR="00711F6E" w:rsidRPr="005D40AD" w:rsidRDefault="00711F6E" w:rsidP="00711F6E">
      <w:pPr>
        <w:pStyle w:val="ListParagraph"/>
        <w:rPr>
          <w:lang w:val="en-GB"/>
        </w:rPr>
      </w:pPr>
    </w:p>
    <w:p w:rsidR="00711F6E" w:rsidRPr="005D40AD" w:rsidRDefault="00711F6E" w:rsidP="00FE3DCB">
      <w:pPr>
        <w:pStyle w:val="ListParagraph"/>
        <w:numPr>
          <w:ilvl w:val="0"/>
          <w:numId w:val="2"/>
        </w:numPr>
        <w:tabs>
          <w:tab w:val="clear" w:pos="360"/>
          <w:tab w:val="num" w:pos="426"/>
        </w:tabs>
        <w:autoSpaceDE w:val="0"/>
        <w:ind w:left="426" w:hanging="426"/>
        <w:jc w:val="both"/>
        <w:rPr>
          <w:b/>
          <w:bCs/>
          <w:lang w:val="en-GB"/>
        </w:rPr>
      </w:pPr>
      <w:r w:rsidRPr="005D40AD">
        <w:rPr>
          <w:lang w:val="en-GB"/>
        </w:rPr>
        <w:t xml:space="preserve">The Panel considers that this </w:t>
      </w:r>
      <w:r w:rsidRPr="005D40AD">
        <w:rPr>
          <w:bCs/>
          <w:lang w:val="en-GB"/>
        </w:rPr>
        <w:t>factual</w:t>
      </w:r>
      <w:r w:rsidRPr="005D40AD">
        <w:rPr>
          <w:lang w:val="en-GB"/>
        </w:rPr>
        <w:t xml:space="preserve"> situation does not relieve UNMIK from its obligation to redress </w:t>
      </w:r>
      <w:r w:rsidRPr="00FE3DCB">
        <w:rPr>
          <w:bCs/>
          <w:lang w:val="en-GB"/>
        </w:rPr>
        <w:t>as</w:t>
      </w:r>
      <w:r w:rsidRPr="005D40AD">
        <w:rPr>
          <w:lang w:val="en-GB"/>
        </w:rPr>
        <w:t xml:space="preserve"> far as possible the effects of the violations for which it is responsible. </w:t>
      </w:r>
    </w:p>
    <w:p w:rsidR="00711F6E" w:rsidRPr="005D40AD" w:rsidRDefault="00711F6E" w:rsidP="00711F6E">
      <w:pPr>
        <w:pStyle w:val="ListParagraph"/>
        <w:rPr>
          <w:b/>
          <w:bCs/>
          <w:lang w:val="en-GB"/>
        </w:rPr>
      </w:pPr>
    </w:p>
    <w:p w:rsidR="00711F6E" w:rsidRPr="005D40AD" w:rsidRDefault="00711F6E" w:rsidP="00711F6E">
      <w:pPr>
        <w:suppressAutoHyphens/>
        <w:autoSpaceDE w:val="0"/>
        <w:ind w:left="450"/>
        <w:jc w:val="both"/>
        <w:rPr>
          <w:b/>
          <w:bCs/>
          <w:lang w:val="en-GB"/>
        </w:rPr>
      </w:pPr>
      <w:r w:rsidRPr="005D40AD">
        <w:rPr>
          <w:b/>
          <w:bCs/>
          <w:lang w:val="en-GB"/>
        </w:rPr>
        <w:t>With respect to the complainant and the case the Panel considers appropriate that UNMIK:</w:t>
      </w:r>
    </w:p>
    <w:p w:rsidR="00711F6E" w:rsidRPr="005D40AD" w:rsidRDefault="00711F6E" w:rsidP="00711F6E">
      <w:pPr>
        <w:pStyle w:val="ListParagraph"/>
        <w:rPr>
          <w:b/>
          <w:bCs/>
          <w:lang w:val="en-GB"/>
        </w:rPr>
      </w:pPr>
    </w:p>
    <w:p w:rsidR="006F30EE" w:rsidRPr="006F30EE" w:rsidRDefault="00C42975" w:rsidP="006F30EE">
      <w:pPr>
        <w:pStyle w:val="ListParagraph"/>
        <w:numPr>
          <w:ilvl w:val="2"/>
          <w:numId w:val="31"/>
        </w:numPr>
        <w:autoSpaceDE w:val="0"/>
        <w:ind w:left="720" w:hanging="270"/>
        <w:jc w:val="both"/>
        <w:rPr>
          <w:b/>
          <w:bCs/>
        </w:rPr>
      </w:pPr>
      <w:r>
        <w:t xml:space="preserve">In line with the case law of the European Court of Human Rights on situations of limited State jurisdiction (see </w:t>
      </w:r>
      <w:proofErr w:type="spellStart"/>
      <w:r>
        <w:t>ECtHR</w:t>
      </w:r>
      <w:proofErr w:type="spellEnd"/>
      <w:r>
        <w:t xml:space="preserve">, </w:t>
      </w:r>
      <w:r>
        <w:rPr>
          <w:i/>
        </w:rPr>
        <w:t>Al-</w:t>
      </w:r>
      <w:proofErr w:type="spellStart"/>
      <w:r>
        <w:rPr>
          <w:i/>
        </w:rPr>
        <w:t>Saadoon</w:t>
      </w:r>
      <w:proofErr w:type="spellEnd"/>
      <w:r>
        <w:rPr>
          <w:i/>
        </w:rPr>
        <w:t xml:space="preserve"> and </w:t>
      </w:r>
      <w:proofErr w:type="spellStart"/>
      <w:r>
        <w:rPr>
          <w:i/>
        </w:rPr>
        <w:t>Mufdhi</w:t>
      </w:r>
      <w:proofErr w:type="spellEnd"/>
      <w:r>
        <w:rPr>
          <w:i/>
        </w:rPr>
        <w:t xml:space="preserve"> v. the United Kingdom</w:t>
      </w:r>
      <w:r>
        <w:t xml:space="preserve">, no. 61498/08, judgment of 2 March 2010, § 171, ECHR 2010 (extracts); </w:t>
      </w:r>
      <w:proofErr w:type="spellStart"/>
      <w:r>
        <w:t>ECtHR</w:t>
      </w:r>
      <w:proofErr w:type="spellEnd"/>
      <w:r>
        <w:t xml:space="preserve"> [GC], </w:t>
      </w:r>
      <w:proofErr w:type="spellStart"/>
      <w:r>
        <w:rPr>
          <w:i/>
        </w:rPr>
        <w:t>Catan</w:t>
      </w:r>
      <w:proofErr w:type="spellEnd"/>
      <w:r>
        <w:rPr>
          <w:i/>
        </w:rPr>
        <w:t xml:space="preserve"> and Others v. Republic of Moldova and Russia </w:t>
      </w:r>
      <w:r>
        <w:t xml:space="preserve">[GC], nos. 43370/04 and others, judgment of 19 October 2012, § 109), must </w:t>
      </w:r>
      <w:proofErr w:type="spellStart"/>
      <w:r>
        <w:t>endeavour</w:t>
      </w:r>
      <w:proofErr w:type="spellEnd"/>
      <w:r>
        <w:t xml:space="preserve">, with all the diplomatic means available to it </w:t>
      </w:r>
      <w:r>
        <w:rPr>
          <w:i/>
        </w:rPr>
        <w:t>vis-à-vis</w:t>
      </w:r>
      <w:r>
        <w:t xml:space="preserve"> EULEX and the Kosovo authorities, to obtain assurances </w:t>
      </w:r>
      <w:r w:rsidR="006832A5">
        <w:t>that a criminal investigation</w:t>
      </w:r>
      <w:r>
        <w:t xml:space="preserve"> concerning the case at issue will be </w:t>
      </w:r>
      <w:r w:rsidR="006F30EE">
        <w:t xml:space="preserve">conducted </w:t>
      </w:r>
      <w:r>
        <w:t xml:space="preserve">in compliance with the requirements of an effective investigation as envisaged by Article 2, that the circumstances surrounding the </w:t>
      </w:r>
      <w:r w:rsidR="0057329D">
        <w:t>abduction</w:t>
      </w:r>
      <w:r>
        <w:t xml:space="preserve"> and </w:t>
      </w:r>
      <w:r w:rsidR="0057329D">
        <w:t xml:space="preserve">killing </w:t>
      </w:r>
      <w:r>
        <w:t xml:space="preserve">of </w:t>
      </w:r>
      <w:proofErr w:type="spellStart"/>
      <w:r>
        <w:t>Mr</w:t>
      </w:r>
      <w:proofErr w:type="spellEnd"/>
      <w:r>
        <w:t xml:space="preserve"> </w:t>
      </w:r>
      <w:proofErr w:type="spellStart"/>
      <w:r>
        <w:t>Momčilo</w:t>
      </w:r>
      <w:proofErr w:type="spellEnd"/>
      <w:r>
        <w:t xml:space="preserve"> </w:t>
      </w:r>
      <w:proofErr w:type="spellStart"/>
      <w:r>
        <w:t>Joksimović</w:t>
      </w:r>
      <w:proofErr w:type="spellEnd"/>
      <w:r>
        <w:t xml:space="preserve"> will be established and that perpetrators will be brought to justice; the complainant and/or other next-of-kin shall be informed of such proceedings and relevant documents shall be disclosed to them, as necessary;</w:t>
      </w:r>
    </w:p>
    <w:p w:rsidR="006F30EE" w:rsidRPr="006F30EE" w:rsidRDefault="006F30EE" w:rsidP="006F30EE">
      <w:pPr>
        <w:pStyle w:val="ListParagraph"/>
        <w:autoSpaceDE w:val="0"/>
        <w:jc w:val="both"/>
        <w:rPr>
          <w:b/>
          <w:bCs/>
        </w:rPr>
      </w:pPr>
    </w:p>
    <w:p w:rsidR="006F30EE" w:rsidRPr="006F30EE" w:rsidRDefault="00711F6E" w:rsidP="006F30EE">
      <w:pPr>
        <w:pStyle w:val="ListParagraph"/>
        <w:numPr>
          <w:ilvl w:val="2"/>
          <w:numId w:val="31"/>
        </w:numPr>
        <w:autoSpaceDE w:val="0"/>
        <w:ind w:left="720" w:hanging="270"/>
        <w:jc w:val="both"/>
        <w:rPr>
          <w:b/>
          <w:bCs/>
        </w:rPr>
      </w:pPr>
      <w:r w:rsidRPr="006F30EE">
        <w:rPr>
          <w:bCs/>
          <w:lang w:val="en-GB"/>
        </w:rPr>
        <w:t xml:space="preserve">Publicly </w:t>
      </w:r>
      <w:r w:rsidRPr="006F30EE">
        <w:rPr>
          <w:lang w:val="en-GB"/>
        </w:rPr>
        <w:t>acknowledges</w:t>
      </w:r>
      <w:r w:rsidRPr="006F30EE">
        <w:rPr>
          <w:bCs/>
          <w:lang w:val="en-GB"/>
        </w:rPr>
        <w:t>, including through media</w:t>
      </w:r>
      <w:r w:rsidR="00874A40" w:rsidRPr="006F30EE">
        <w:rPr>
          <w:bCs/>
          <w:lang w:val="en-GB"/>
        </w:rPr>
        <w:t>,</w:t>
      </w:r>
      <w:r w:rsidRPr="006F30EE">
        <w:rPr>
          <w:lang w:val="en-GB"/>
        </w:rPr>
        <w:t xml:space="preserve"> within</w:t>
      </w:r>
      <w:r w:rsidRPr="006F30EE">
        <w:rPr>
          <w:bCs/>
          <w:lang w:val="en-GB"/>
        </w:rPr>
        <w:t xml:space="preserve"> a reasonable time, responsibility with respect to UNMIK’s </w:t>
      </w:r>
      <w:r w:rsidRPr="006F30EE">
        <w:rPr>
          <w:lang w:val="en-GB"/>
        </w:rPr>
        <w:t>failure</w:t>
      </w:r>
      <w:r w:rsidRPr="006F30EE">
        <w:rPr>
          <w:bCs/>
          <w:lang w:val="en-GB"/>
        </w:rPr>
        <w:t xml:space="preserve"> to adequately investigate the</w:t>
      </w:r>
      <w:r w:rsidR="00874A40" w:rsidRPr="006F30EE">
        <w:rPr>
          <w:bCs/>
          <w:lang w:val="en-GB"/>
        </w:rPr>
        <w:t xml:space="preserve"> </w:t>
      </w:r>
      <w:r w:rsidR="00E678F6" w:rsidRPr="006F30EE">
        <w:rPr>
          <w:lang w:val="en-GB"/>
        </w:rPr>
        <w:t xml:space="preserve">abduction and killing </w:t>
      </w:r>
      <w:r w:rsidR="00AD7F08" w:rsidRPr="006F30EE">
        <w:rPr>
          <w:lang w:val="en-GB"/>
        </w:rPr>
        <w:t xml:space="preserve">of </w:t>
      </w:r>
      <w:proofErr w:type="spellStart"/>
      <w:r w:rsidR="003443B0">
        <w:t>Mr</w:t>
      </w:r>
      <w:proofErr w:type="spellEnd"/>
      <w:r w:rsidR="003443B0">
        <w:t xml:space="preserve"> </w:t>
      </w:r>
      <w:proofErr w:type="spellStart"/>
      <w:r w:rsidR="003443B0">
        <w:t>Momčilo</w:t>
      </w:r>
      <w:proofErr w:type="spellEnd"/>
      <w:r w:rsidR="003443B0">
        <w:t xml:space="preserve"> </w:t>
      </w:r>
      <w:proofErr w:type="spellStart"/>
      <w:r w:rsidR="003443B0">
        <w:t>Joksimović</w:t>
      </w:r>
      <w:proofErr w:type="spellEnd"/>
      <w:r w:rsidR="00B1632C" w:rsidRPr="006F30EE">
        <w:rPr>
          <w:lang w:val="en-GB"/>
        </w:rPr>
        <w:t>,</w:t>
      </w:r>
      <w:r w:rsidRPr="006F30EE">
        <w:rPr>
          <w:bCs/>
          <w:lang w:val="en-GB"/>
        </w:rPr>
        <w:t xml:space="preserve"> and makes a public ap</w:t>
      </w:r>
      <w:r w:rsidR="00874A40" w:rsidRPr="006F30EE">
        <w:rPr>
          <w:bCs/>
          <w:lang w:val="en-GB"/>
        </w:rPr>
        <w:t xml:space="preserve">ology to </w:t>
      </w:r>
      <w:r w:rsidR="007A6CD4" w:rsidRPr="006F30EE">
        <w:rPr>
          <w:bCs/>
          <w:lang w:val="en-GB"/>
        </w:rPr>
        <w:t>the complainant</w:t>
      </w:r>
      <w:r w:rsidR="006F30EE" w:rsidRPr="006F30EE">
        <w:rPr>
          <w:bCs/>
          <w:lang w:val="en-GB"/>
        </w:rPr>
        <w:t xml:space="preserve"> and his family</w:t>
      </w:r>
      <w:r w:rsidRPr="006F30EE">
        <w:rPr>
          <w:bCs/>
          <w:lang w:val="en-GB"/>
        </w:rPr>
        <w:t>;</w:t>
      </w:r>
    </w:p>
    <w:p w:rsidR="006F30EE" w:rsidRPr="006F30EE" w:rsidRDefault="006F30EE" w:rsidP="006F30EE">
      <w:pPr>
        <w:pStyle w:val="ListParagraph"/>
        <w:rPr>
          <w:lang w:val="en-GB"/>
        </w:rPr>
      </w:pPr>
    </w:p>
    <w:p w:rsidR="00711F6E" w:rsidRPr="006F30EE" w:rsidRDefault="00711F6E" w:rsidP="006F30EE">
      <w:pPr>
        <w:pStyle w:val="ListParagraph"/>
        <w:numPr>
          <w:ilvl w:val="2"/>
          <w:numId w:val="31"/>
        </w:numPr>
        <w:autoSpaceDE w:val="0"/>
        <w:ind w:left="720" w:hanging="270"/>
        <w:jc w:val="both"/>
        <w:rPr>
          <w:b/>
          <w:bCs/>
        </w:rPr>
      </w:pPr>
      <w:r w:rsidRPr="006F30EE">
        <w:rPr>
          <w:lang w:val="en-GB"/>
        </w:rPr>
        <w:t xml:space="preserve">Takes appropriate steps towards payment of adequate compensation to the complainant for the </w:t>
      </w:r>
      <w:r w:rsidRPr="006F30EE">
        <w:rPr>
          <w:bCs/>
          <w:lang w:val="en-GB"/>
        </w:rPr>
        <w:t>moral</w:t>
      </w:r>
      <w:r w:rsidRPr="006F30EE">
        <w:rPr>
          <w:lang w:val="en-GB"/>
        </w:rPr>
        <w:t xml:space="preserve"> </w:t>
      </w:r>
      <w:r w:rsidRPr="006F30EE">
        <w:rPr>
          <w:bCs/>
          <w:lang w:val="en-GB"/>
        </w:rPr>
        <w:t>damage</w:t>
      </w:r>
      <w:r w:rsidRPr="006F30EE">
        <w:rPr>
          <w:lang w:val="en-GB"/>
        </w:rPr>
        <w:t xml:space="preserve"> suffered due to UNMIK’s failure to conduct an effective investigation.</w:t>
      </w:r>
    </w:p>
    <w:p w:rsidR="003E5C01" w:rsidRDefault="003E5C01" w:rsidP="00711F6E">
      <w:pPr>
        <w:suppressAutoHyphens/>
        <w:autoSpaceDE w:val="0"/>
        <w:ind w:left="450"/>
        <w:jc w:val="both"/>
        <w:rPr>
          <w:b/>
          <w:bCs/>
          <w:lang w:val="en-GB"/>
        </w:rPr>
      </w:pPr>
    </w:p>
    <w:p w:rsidR="00711F6E" w:rsidRPr="005D40AD" w:rsidRDefault="00711F6E" w:rsidP="00711F6E">
      <w:pPr>
        <w:suppressAutoHyphens/>
        <w:autoSpaceDE w:val="0"/>
        <w:ind w:left="450"/>
        <w:jc w:val="both"/>
        <w:rPr>
          <w:b/>
          <w:bCs/>
          <w:lang w:val="en-GB"/>
        </w:rPr>
      </w:pPr>
      <w:r w:rsidRPr="005D40AD">
        <w:rPr>
          <w:b/>
          <w:bCs/>
          <w:lang w:val="en-GB"/>
        </w:rPr>
        <w:t>The Panel also considers appropriate that UNMIK:</w:t>
      </w:r>
    </w:p>
    <w:p w:rsidR="00711F6E" w:rsidRPr="005D40AD" w:rsidRDefault="00711F6E" w:rsidP="00711F6E">
      <w:pPr>
        <w:rPr>
          <w:lang w:val="en-GB"/>
        </w:rPr>
      </w:pPr>
    </w:p>
    <w:p w:rsidR="00934F9E" w:rsidRDefault="00711F6E" w:rsidP="00934F9E">
      <w:pPr>
        <w:pStyle w:val="ListParagraph"/>
        <w:numPr>
          <w:ilvl w:val="0"/>
          <w:numId w:val="34"/>
        </w:numPr>
        <w:tabs>
          <w:tab w:val="left" w:pos="900"/>
        </w:tabs>
        <w:autoSpaceDE w:val="0"/>
        <w:jc w:val="both"/>
        <w:rPr>
          <w:lang w:val="en-GB"/>
        </w:rPr>
      </w:pPr>
      <w:r w:rsidRPr="00934F9E">
        <w:rPr>
          <w:bCs/>
          <w:lang w:val="en-GB"/>
        </w:rPr>
        <w:t xml:space="preserve">In line </w:t>
      </w:r>
      <w:r w:rsidRPr="00934F9E">
        <w:rPr>
          <w:lang w:val="en-GB"/>
        </w:rPr>
        <w:t>with</w:t>
      </w:r>
      <w:r w:rsidRPr="00934F9E">
        <w:rPr>
          <w:bCs/>
          <w:lang w:val="en-GB"/>
        </w:rPr>
        <w:t xml:space="preserve"> the UN </w:t>
      </w:r>
      <w:r w:rsidRPr="00934F9E">
        <w:rPr>
          <w:lang w:val="en-GB"/>
        </w:rPr>
        <w:t>General</w:t>
      </w:r>
      <w:r w:rsidRPr="00934F9E">
        <w:rPr>
          <w:bCs/>
          <w:lang w:val="en-GB"/>
        </w:rPr>
        <w:t xml:space="preserve"> Assembly Resolution on “Basic Principles and </w:t>
      </w:r>
      <w:r w:rsidRPr="00934F9E">
        <w:rPr>
          <w:lang w:val="en-GB"/>
        </w:rPr>
        <w:t>Guidelines</w:t>
      </w:r>
      <w:r w:rsidRPr="00934F9E">
        <w:rPr>
          <w:bCs/>
          <w:lang w:val="en-GB"/>
        </w:rPr>
        <w:t xml:space="preserve"> on the Right to a Remedy and Reparation for Victims of Gross Violations of International Human Rights Law and Serious Violations of International Humanitarian Law” (A/Res/60/147, 21 March 2006), takes </w:t>
      </w:r>
      <w:r w:rsidRPr="00934F9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934F9E" w:rsidRDefault="00934F9E" w:rsidP="00934F9E">
      <w:pPr>
        <w:pStyle w:val="ListParagraph"/>
        <w:tabs>
          <w:tab w:val="left" w:pos="900"/>
        </w:tabs>
        <w:autoSpaceDE w:val="0"/>
        <w:jc w:val="both"/>
        <w:rPr>
          <w:lang w:val="en-GB"/>
        </w:rPr>
      </w:pPr>
    </w:p>
    <w:p w:rsidR="00711F6E" w:rsidRPr="00934F9E" w:rsidRDefault="00711F6E" w:rsidP="00934F9E">
      <w:pPr>
        <w:pStyle w:val="ListParagraph"/>
        <w:numPr>
          <w:ilvl w:val="0"/>
          <w:numId w:val="34"/>
        </w:numPr>
        <w:tabs>
          <w:tab w:val="left" w:pos="900"/>
        </w:tabs>
        <w:autoSpaceDE w:val="0"/>
        <w:jc w:val="both"/>
        <w:rPr>
          <w:lang w:val="en-GB"/>
        </w:rPr>
      </w:pPr>
      <w:r w:rsidRPr="00934F9E">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41478C" w:rsidRPr="00934F9E">
        <w:rPr>
          <w:lang w:val="en-GB"/>
        </w:rPr>
        <w:t>tive and independent monitoring.</w:t>
      </w:r>
    </w:p>
    <w:p w:rsidR="00711F6E" w:rsidRPr="005D40AD" w:rsidRDefault="00711F6E" w:rsidP="00711F6E">
      <w:pPr>
        <w:rPr>
          <w:lang w:val="en-GB"/>
        </w:rPr>
      </w:pPr>
    </w:p>
    <w:p w:rsidR="00711F6E" w:rsidRPr="005D40AD" w:rsidRDefault="00711F6E" w:rsidP="00711F6E">
      <w:pPr>
        <w:pStyle w:val="Normal1"/>
        <w:spacing w:before="0" w:beforeAutospacing="0" w:after="0" w:afterAutospacing="0"/>
        <w:jc w:val="both"/>
        <w:rPr>
          <w:b/>
          <w:lang w:val="en-GB"/>
        </w:rPr>
      </w:pPr>
      <w:r w:rsidRPr="005D40AD">
        <w:rPr>
          <w:b/>
          <w:lang w:val="en-GB"/>
        </w:rPr>
        <w:t>FOR THESE REASONS,</w:t>
      </w:r>
    </w:p>
    <w:p w:rsidR="00711F6E" w:rsidRPr="005D40AD" w:rsidRDefault="00711F6E" w:rsidP="00711F6E">
      <w:pPr>
        <w:pStyle w:val="Normal1"/>
        <w:spacing w:before="0" w:beforeAutospacing="0" w:after="0" w:afterAutospacing="0"/>
        <w:jc w:val="both"/>
        <w:rPr>
          <w:b/>
          <w:lang w:val="en-GB"/>
        </w:rPr>
      </w:pPr>
    </w:p>
    <w:p w:rsidR="0041478C" w:rsidRPr="005D40AD" w:rsidRDefault="0041478C" w:rsidP="00711F6E">
      <w:pPr>
        <w:pStyle w:val="Normal1"/>
        <w:spacing w:before="0" w:beforeAutospacing="0" w:after="0" w:afterAutospacing="0"/>
        <w:jc w:val="both"/>
        <w:rPr>
          <w:b/>
          <w:lang w:val="en-GB"/>
        </w:rPr>
      </w:pPr>
    </w:p>
    <w:p w:rsidR="00711F6E" w:rsidRPr="005D40AD" w:rsidRDefault="00711F6E" w:rsidP="00711F6E">
      <w:pPr>
        <w:autoSpaceDE w:val="0"/>
        <w:autoSpaceDN w:val="0"/>
        <w:adjustRightInd w:val="0"/>
        <w:jc w:val="both"/>
        <w:rPr>
          <w:lang w:val="en-GB"/>
        </w:rPr>
      </w:pPr>
      <w:r w:rsidRPr="005D40AD">
        <w:rPr>
          <w:lang w:val="en-GB"/>
        </w:rPr>
        <w:t>The Panel, unanimously,</w:t>
      </w:r>
    </w:p>
    <w:p w:rsidR="00711F6E" w:rsidRPr="005D40AD" w:rsidRDefault="00711F6E" w:rsidP="00711F6E">
      <w:pPr>
        <w:autoSpaceDE w:val="0"/>
        <w:autoSpaceDN w:val="0"/>
        <w:adjustRightInd w:val="0"/>
        <w:jc w:val="both"/>
        <w:rPr>
          <w:lang w:val="en-GB"/>
        </w:rPr>
      </w:pPr>
    </w:p>
    <w:p w:rsidR="00711F6E" w:rsidRPr="005D40AD" w:rsidRDefault="00711F6E" w:rsidP="00711F6E">
      <w:pPr>
        <w:autoSpaceDE w:val="0"/>
        <w:autoSpaceDN w:val="0"/>
        <w:adjustRightInd w:val="0"/>
        <w:jc w:val="both"/>
        <w:rPr>
          <w:lang w:val="en-GB"/>
        </w:rPr>
      </w:pPr>
    </w:p>
    <w:p w:rsidR="00711F6E" w:rsidRPr="005D40AD" w:rsidRDefault="00711F6E" w:rsidP="00711F6E">
      <w:pPr>
        <w:pStyle w:val="JuList"/>
        <w:numPr>
          <w:ilvl w:val="0"/>
          <w:numId w:val="5"/>
        </w:numPr>
        <w:tabs>
          <w:tab w:val="clear" w:pos="567"/>
          <w:tab w:val="num" w:pos="-142"/>
        </w:tabs>
        <w:ind w:left="284" w:hanging="284"/>
        <w:rPr>
          <w:b/>
        </w:rPr>
      </w:pPr>
      <w:r w:rsidRPr="005D40AD">
        <w:rPr>
          <w:b/>
        </w:rPr>
        <w:t>FINDS THAT THERE HAS BEEN A VIOLATION OF THE PROCEDURAL OBLIGATION UNDER ARTICLE 2 OF THE EUROPEAN CONVENTION ON HUMAN RIGHTS;</w:t>
      </w:r>
    </w:p>
    <w:p w:rsidR="00711F6E" w:rsidRPr="005D40AD" w:rsidRDefault="00711F6E" w:rsidP="00711F6E">
      <w:pPr>
        <w:pStyle w:val="JuList"/>
        <w:ind w:left="0" w:firstLine="0"/>
        <w:rPr>
          <w:b/>
        </w:rPr>
      </w:pPr>
    </w:p>
    <w:p w:rsidR="00711F6E" w:rsidRPr="005D40AD" w:rsidRDefault="00711F6E" w:rsidP="00711F6E">
      <w:pPr>
        <w:pStyle w:val="JuList"/>
        <w:numPr>
          <w:ilvl w:val="0"/>
          <w:numId w:val="5"/>
        </w:numPr>
        <w:tabs>
          <w:tab w:val="clear" w:pos="567"/>
          <w:tab w:val="num" w:pos="-142"/>
        </w:tabs>
        <w:ind w:left="284" w:hanging="284"/>
        <w:rPr>
          <w:b/>
        </w:rPr>
      </w:pPr>
      <w:r w:rsidRPr="005D40AD">
        <w:rPr>
          <w:b/>
        </w:rPr>
        <w:t>RECOMMENDS</w:t>
      </w:r>
      <w:r w:rsidRPr="005D40AD">
        <w:rPr>
          <w:b/>
          <w:bCs/>
          <w:lang w:eastAsia="en-US"/>
        </w:rPr>
        <w:t xml:space="preserve"> THAT UNMIK:</w:t>
      </w:r>
    </w:p>
    <w:p w:rsidR="00711F6E" w:rsidRPr="005D40AD" w:rsidRDefault="00711F6E" w:rsidP="00711F6E">
      <w:pPr>
        <w:pStyle w:val="JuList"/>
        <w:ind w:left="0" w:firstLine="0"/>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 xml:space="preserve">URGES THE COMPETENT AUTHORITIES IN KOSOVO TO TAKE ALL POSSIBLE STEPS IN ORDER TO ENSURE THAT </w:t>
      </w:r>
      <w:r w:rsidR="00934F9E">
        <w:rPr>
          <w:b/>
          <w:bCs/>
          <w:lang w:eastAsia="en-US"/>
        </w:rPr>
        <w:t xml:space="preserve">A </w:t>
      </w:r>
      <w:r w:rsidRPr="005D40AD">
        <w:rPr>
          <w:b/>
          <w:bCs/>
          <w:lang w:eastAsia="en-US"/>
        </w:rPr>
        <w:t xml:space="preserve">CRIMINAL INVESTIGATION INTO </w:t>
      </w:r>
      <w:r w:rsidRPr="005D40AD">
        <w:rPr>
          <w:b/>
          <w:bCs/>
        </w:rPr>
        <w:t>THE</w:t>
      </w:r>
      <w:r w:rsidR="00874A40" w:rsidRPr="005D40AD">
        <w:rPr>
          <w:b/>
          <w:bCs/>
        </w:rPr>
        <w:t xml:space="preserve"> </w:t>
      </w:r>
      <w:r w:rsidR="00C70AD7" w:rsidRPr="005D40AD">
        <w:rPr>
          <w:b/>
        </w:rPr>
        <w:t xml:space="preserve">ABDUCTION AND KILLING </w:t>
      </w:r>
      <w:r w:rsidR="00AD7F08" w:rsidRPr="005D40AD">
        <w:rPr>
          <w:b/>
        </w:rPr>
        <w:t xml:space="preserve">OF </w:t>
      </w:r>
      <w:r w:rsidR="003443B0">
        <w:rPr>
          <w:b/>
          <w:lang w:val="en-US"/>
        </w:rPr>
        <w:t>MR MOMČILO JOKSIMOVIĆ</w:t>
      </w:r>
      <w:r w:rsidR="007C59FC" w:rsidRPr="005D40AD">
        <w:rPr>
          <w:b/>
        </w:rPr>
        <w:t xml:space="preserve"> </w:t>
      </w:r>
      <w:r w:rsidRPr="005D40AD">
        <w:rPr>
          <w:b/>
        </w:rPr>
        <w:t>IS</w:t>
      </w:r>
      <w:r w:rsidRPr="005D40AD">
        <w:rPr>
          <w:b/>
          <w:bCs/>
          <w:lang w:eastAsia="en-US"/>
        </w:rPr>
        <w:t xml:space="preserve"> </w:t>
      </w:r>
      <w:r w:rsidR="00934F9E">
        <w:rPr>
          <w:b/>
          <w:bCs/>
          <w:lang w:eastAsia="en-US"/>
        </w:rPr>
        <w:t xml:space="preserve">CONDUCTED </w:t>
      </w:r>
      <w:r w:rsidRPr="005D40AD">
        <w:rPr>
          <w:b/>
          <w:bCs/>
          <w:lang w:eastAsia="en-US"/>
        </w:rPr>
        <w:t>IN COMPLIANCE WITH ARTICLE 2 OF THE ECHR AND THAT THE PERPETRATORS ARE BROUGHT TO JUSTICE;</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PUBLICLY ACKNOWLEDGES</w:t>
      </w:r>
      <w:r w:rsidR="00FC30AF" w:rsidRPr="005D40AD">
        <w:rPr>
          <w:b/>
          <w:bCs/>
          <w:lang w:eastAsia="en-US"/>
        </w:rPr>
        <w:t>,</w:t>
      </w:r>
      <w:r w:rsidRPr="005D40AD">
        <w:rPr>
          <w:b/>
          <w:bCs/>
          <w:lang w:eastAsia="en-US"/>
        </w:rPr>
        <w:t xml:space="preserve"> INCLUDING THROUGH MEDIA</w:t>
      </w:r>
      <w:r w:rsidR="00FC30AF" w:rsidRPr="005D40AD">
        <w:rPr>
          <w:b/>
          <w:bCs/>
          <w:lang w:eastAsia="en-US"/>
        </w:rPr>
        <w:t>,</w:t>
      </w:r>
      <w:r w:rsidRPr="005D40AD">
        <w:rPr>
          <w:b/>
          <w:bCs/>
          <w:lang w:eastAsia="en-US"/>
        </w:rPr>
        <w:t xml:space="preserve"> </w:t>
      </w:r>
      <w:r w:rsidRPr="00206730">
        <w:rPr>
          <w:b/>
          <w:bCs/>
          <w:lang w:eastAsia="en-US"/>
        </w:rPr>
        <w:t xml:space="preserve">RESPONSIBILITY FOR ITS FAILURE TO CONDUCT AN EFFECTIVE INVESTIGATION INTO </w:t>
      </w:r>
      <w:r w:rsidRPr="00206730">
        <w:rPr>
          <w:b/>
          <w:bCs/>
        </w:rPr>
        <w:t xml:space="preserve">THE </w:t>
      </w:r>
      <w:r w:rsidR="00C70AD7" w:rsidRPr="00206730">
        <w:rPr>
          <w:b/>
        </w:rPr>
        <w:t xml:space="preserve">ABDUCTION AND KILLING </w:t>
      </w:r>
      <w:r w:rsidR="007831C3" w:rsidRPr="00206730">
        <w:rPr>
          <w:b/>
        </w:rPr>
        <w:t xml:space="preserve">OF </w:t>
      </w:r>
      <w:r w:rsidR="003443B0">
        <w:rPr>
          <w:b/>
          <w:lang w:val="en-US"/>
        </w:rPr>
        <w:t>MR MOMČILO JOKSIMOVIĆ</w:t>
      </w:r>
      <w:r w:rsidRPr="00206730">
        <w:rPr>
          <w:b/>
          <w:bCs/>
          <w:lang w:eastAsia="en-US"/>
        </w:rPr>
        <w:t xml:space="preserve"> AND MAKES A PUBLIC APOLOGY TO </w:t>
      </w:r>
      <w:r w:rsidR="007A6CD4" w:rsidRPr="00206730">
        <w:rPr>
          <w:b/>
          <w:bCs/>
          <w:lang w:eastAsia="en-US"/>
        </w:rPr>
        <w:t>THE COMPLAINANT</w:t>
      </w:r>
      <w:r w:rsidR="006F30EE">
        <w:rPr>
          <w:b/>
          <w:bCs/>
          <w:lang w:eastAsia="en-US"/>
        </w:rPr>
        <w:t xml:space="preserve"> AND HIS FAMILY</w:t>
      </w:r>
      <w:r w:rsidRPr="00206730">
        <w:rPr>
          <w:b/>
          <w:bCs/>
          <w:lang w:eastAsia="en-US"/>
        </w:rPr>
        <w:t>;</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TAKES APPROPRIATE STEPS TOWARDS PAYMENT OF ADEQUATE COMPENSATION TO THE COMPLAINANT FOR MORAL DAMAGE IN RELATION TO THE FINDING OF VIOL</w:t>
      </w:r>
      <w:r w:rsidR="00DA24E1">
        <w:rPr>
          <w:b/>
          <w:bCs/>
          <w:lang w:eastAsia="en-US"/>
        </w:rPr>
        <w:t>ATIONS OF ARTICLE 2 OF THE ECHR;</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TAKES APPROPRIATE STEPS TOWARDS THE REALISATION OF A FULL AND COMPREHENSIVE REPARATION PROGRAMME;</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TAKES APPROPRIATE STEPS AT THE UNITED NATIONS AS A GUARANTEE OF NON REPETITION;</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TAKES IMMEDIATE AND EFFECTIVE MEASURES TO IMPLEMENT THE RECOMMENDATIONS OF THE PANEL AND TO INFORM THE COMPLAINANT AND THE PANEL ABOUT FURTHER DEVELOPMENTS IN THIS CASE.</w:t>
      </w:r>
    </w:p>
    <w:p w:rsidR="00D35F2E" w:rsidRPr="005D40AD" w:rsidRDefault="00D35F2E" w:rsidP="00711F6E">
      <w:pPr>
        <w:autoSpaceDE w:val="0"/>
        <w:autoSpaceDN w:val="0"/>
        <w:adjustRightInd w:val="0"/>
        <w:jc w:val="both"/>
        <w:rPr>
          <w:lang w:val="en-GB"/>
        </w:rPr>
      </w:pPr>
    </w:p>
    <w:p w:rsidR="00D35F2E" w:rsidRPr="005D40AD" w:rsidRDefault="00D35F2E" w:rsidP="00711F6E">
      <w:pPr>
        <w:autoSpaceDE w:val="0"/>
        <w:autoSpaceDN w:val="0"/>
        <w:adjustRightInd w:val="0"/>
        <w:jc w:val="both"/>
        <w:rPr>
          <w:lang w:val="en-GB"/>
        </w:rPr>
      </w:pPr>
    </w:p>
    <w:p w:rsidR="00D35F2E" w:rsidRPr="005D40AD" w:rsidRDefault="00D35F2E" w:rsidP="00711F6E">
      <w:pPr>
        <w:autoSpaceDE w:val="0"/>
        <w:autoSpaceDN w:val="0"/>
        <w:adjustRightInd w:val="0"/>
        <w:jc w:val="both"/>
        <w:rPr>
          <w:lang w:val="en-GB"/>
        </w:rPr>
      </w:pPr>
    </w:p>
    <w:p w:rsidR="0041478C" w:rsidRPr="005D40AD" w:rsidRDefault="0041478C" w:rsidP="00711F6E">
      <w:pPr>
        <w:autoSpaceDE w:val="0"/>
        <w:autoSpaceDN w:val="0"/>
        <w:adjustRightInd w:val="0"/>
        <w:jc w:val="both"/>
        <w:rPr>
          <w:lang w:val="en-GB"/>
        </w:rPr>
      </w:pPr>
    </w:p>
    <w:p w:rsidR="00D35F2E" w:rsidRPr="005D40AD" w:rsidRDefault="00D35F2E" w:rsidP="00711F6E">
      <w:pPr>
        <w:autoSpaceDE w:val="0"/>
        <w:autoSpaceDN w:val="0"/>
        <w:adjustRightInd w:val="0"/>
        <w:jc w:val="both"/>
        <w:rPr>
          <w:lang w:val="en-GB"/>
        </w:rPr>
      </w:pPr>
    </w:p>
    <w:p w:rsidR="00D35F2E" w:rsidRPr="005D40AD" w:rsidRDefault="00D35F2E" w:rsidP="00711F6E">
      <w:pPr>
        <w:autoSpaceDE w:val="0"/>
        <w:autoSpaceDN w:val="0"/>
        <w:adjustRightInd w:val="0"/>
        <w:jc w:val="both"/>
        <w:rPr>
          <w:lang w:val="en-GB"/>
        </w:rPr>
      </w:pPr>
    </w:p>
    <w:p w:rsidR="00711F6E" w:rsidRPr="005D40AD" w:rsidRDefault="00711F6E" w:rsidP="00711F6E">
      <w:pPr>
        <w:autoSpaceDE w:val="0"/>
        <w:autoSpaceDN w:val="0"/>
        <w:adjustRightInd w:val="0"/>
        <w:jc w:val="both"/>
        <w:rPr>
          <w:lang w:val="en-GB"/>
        </w:rPr>
      </w:pPr>
      <w:r w:rsidRPr="005D40AD">
        <w:rPr>
          <w:lang w:val="en-GB"/>
        </w:rPr>
        <w:t>Andrey Antonov</w:t>
      </w:r>
      <w:r w:rsidRPr="005D40AD">
        <w:rPr>
          <w:lang w:val="en-GB"/>
        </w:rPr>
        <w:tab/>
      </w:r>
      <w:r w:rsidRPr="005D40AD">
        <w:rPr>
          <w:lang w:val="en-GB"/>
        </w:rPr>
        <w:tab/>
      </w:r>
      <w:r w:rsidRPr="005D40AD">
        <w:rPr>
          <w:lang w:val="en-GB"/>
        </w:rPr>
        <w:tab/>
      </w:r>
      <w:r w:rsidRPr="005D40AD">
        <w:rPr>
          <w:lang w:val="en-GB"/>
        </w:rPr>
        <w:tab/>
      </w:r>
      <w:r w:rsidRPr="005D40AD">
        <w:rPr>
          <w:lang w:val="en-GB"/>
        </w:rPr>
        <w:tab/>
      </w:r>
      <w:r w:rsidR="00FE3DCB">
        <w:rPr>
          <w:lang w:val="en-GB"/>
        </w:rPr>
        <w:tab/>
      </w:r>
      <w:r w:rsidRPr="005D40AD">
        <w:rPr>
          <w:lang w:val="en-GB"/>
        </w:rPr>
        <w:tab/>
      </w:r>
      <w:r w:rsidRPr="005D40AD">
        <w:rPr>
          <w:lang w:val="en-GB"/>
        </w:rPr>
        <w:tab/>
      </w:r>
      <w:r w:rsidR="00FE3DCB">
        <w:rPr>
          <w:lang w:val="en-GB"/>
        </w:rPr>
        <w:t xml:space="preserve"> </w:t>
      </w:r>
      <w:r w:rsidRPr="005D40AD">
        <w:rPr>
          <w:lang w:val="en-GB"/>
        </w:rPr>
        <w:t>Marek Nowicki</w:t>
      </w:r>
    </w:p>
    <w:p w:rsidR="009A6E2B" w:rsidRPr="005D40AD" w:rsidRDefault="00711F6E" w:rsidP="00DF23A8">
      <w:pPr>
        <w:autoSpaceDE w:val="0"/>
        <w:autoSpaceDN w:val="0"/>
        <w:adjustRightInd w:val="0"/>
        <w:jc w:val="both"/>
        <w:rPr>
          <w:i/>
          <w:lang w:val="en-GB"/>
        </w:rPr>
      </w:pPr>
      <w:r w:rsidRPr="005D40AD">
        <w:rPr>
          <w:lang w:val="en-GB"/>
        </w:rPr>
        <w:t xml:space="preserve">Executive Officer </w:t>
      </w:r>
      <w:r w:rsidRPr="005D40AD">
        <w:rPr>
          <w:lang w:val="en-GB"/>
        </w:rPr>
        <w:tab/>
      </w:r>
      <w:r w:rsidRPr="005D40AD">
        <w:rPr>
          <w:lang w:val="en-GB"/>
        </w:rPr>
        <w:tab/>
      </w:r>
      <w:r w:rsidRPr="005D40AD">
        <w:rPr>
          <w:lang w:val="en-GB"/>
        </w:rPr>
        <w:tab/>
      </w:r>
      <w:r w:rsidRPr="005D40AD">
        <w:rPr>
          <w:lang w:val="en-GB"/>
        </w:rPr>
        <w:tab/>
      </w:r>
      <w:r w:rsidRPr="005D40AD">
        <w:rPr>
          <w:lang w:val="en-GB"/>
        </w:rPr>
        <w:tab/>
      </w:r>
      <w:r w:rsidR="00FE3DCB">
        <w:rPr>
          <w:lang w:val="en-GB"/>
        </w:rPr>
        <w:tab/>
      </w:r>
      <w:r w:rsidRPr="005D40AD">
        <w:rPr>
          <w:lang w:val="en-GB"/>
        </w:rPr>
        <w:tab/>
      </w:r>
      <w:r w:rsidRPr="005D40AD">
        <w:rPr>
          <w:lang w:val="en-GB"/>
        </w:rPr>
        <w:tab/>
        <w:t>Presiding Member</w:t>
      </w:r>
    </w:p>
    <w:p w:rsidR="00DF23A8" w:rsidRPr="005D40AD" w:rsidRDefault="00DF23A8">
      <w:pPr>
        <w:rPr>
          <w:i/>
          <w:lang w:val="en-GB"/>
        </w:rPr>
      </w:pPr>
      <w:r w:rsidRPr="005D40AD">
        <w:rPr>
          <w:i/>
          <w:lang w:val="en-GB"/>
        </w:rPr>
        <w:br w:type="page"/>
      </w:r>
    </w:p>
    <w:p w:rsidR="00711F6E" w:rsidRPr="005D40AD" w:rsidRDefault="00711F6E" w:rsidP="00711F6E">
      <w:pPr>
        <w:jc w:val="right"/>
        <w:rPr>
          <w:b/>
          <w:lang w:val="en-GB"/>
        </w:rPr>
      </w:pPr>
      <w:r w:rsidRPr="005D40AD">
        <w:rPr>
          <w:i/>
          <w:lang w:val="en-GB"/>
        </w:rPr>
        <w:t>Annex</w:t>
      </w:r>
    </w:p>
    <w:p w:rsidR="00711F6E" w:rsidRPr="005D40AD" w:rsidRDefault="00711F6E" w:rsidP="00711F6E">
      <w:pPr>
        <w:rPr>
          <w:b/>
          <w:lang w:val="en-GB"/>
        </w:rPr>
      </w:pPr>
    </w:p>
    <w:p w:rsidR="00711F6E" w:rsidRPr="005D40AD" w:rsidRDefault="00711F6E" w:rsidP="00711F6E">
      <w:pPr>
        <w:jc w:val="center"/>
        <w:rPr>
          <w:lang w:val="en-GB"/>
        </w:rPr>
      </w:pPr>
      <w:r w:rsidRPr="005D40AD">
        <w:rPr>
          <w:b/>
          <w:lang w:val="en-GB"/>
        </w:rPr>
        <w:t>ABBREVIATIONS AND ACRONYMS</w:t>
      </w:r>
    </w:p>
    <w:p w:rsidR="00711F6E" w:rsidRPr="005D40AD" w:rsidRDefault="00711F6E" w:rsidP="00711F6E">
      <w:pPr>
        <w:autoSpaceDE w:val="0"/>
        <w:jc w:val="both"/>
        <w:rPr>
          <w:lang w:val="en-GB"/>
        </w:rPr>
      </w:pPr>
    </w:p>
    <w:p w:rsidR="00FE3DCB" w:rsidRDefault="00FE3DCB" w:rsidP="00711F6E">
      <w:pPr>
        <w:autoSpaceDE w:val="0"/>
        <w:jc w:val="both"/>
        <w:rPr>
          <w:b/>
          <w:lang w:val="en-GB"/>
        </w:rPr>
      </w:pPr>
      <w:r w:rsidRPr="00FE3DCB">
        <w:rPr>
          <w:b/>
          <w:lang w:val="en-GB"/>
        </w:rPr>
        <w:t>BDMP</w:t>
      </w:r>
      <w:r>
        <w:rPr>
          <w:lang w:val="en-GB"/>
        </w:rPr>
        <w:tab/>
      </w:r>
      <w:r>
        <w:rPr>
          <w:lang w:val="en-GB"/>
        </w:rPr>
        <w:tab/>
      </w:r>
      <w:r w:rsidRPr="00180311">
        <w:rPr>
          <w:lang w:val="en-GB"/>
        </w:rPr>
        <w:t>Bureau for</w:t>
      </w:r>
      <w:r>
        <w:rPr>
          <w:lang w:val="en-GB"/>
        </w:rPr>
        <w:t xml:space="preserve"> Detainees and Missing Persons</w:t>
      </w:r>
    </w:p>
    <w:p w:rsidR="00C4361F" w:rsidRPr="005D40AD" w:rsidRDefault="00C4361F" w:rsidP="00711F6E">
      <w:pPr>
        <w:autoSpaceDE w:val="0"/>
        <w:jc w:val="both"/>
        <w:rPr>
          <w:lang w:val="en-GB"/>
        </w:rPr>
      </w:pPr>
      <w:r w:rsidRPr="005D40AD">
        <w:rPr>
          <w:b/>
          <w:lang w:val="en-GB"/>
        </w:rPr>
        <w:t>CCIU</w:t>
      </w:r>
      <w:r w:rsidRPr="005D40AD">
        <w:rPr>
          <w:b/>
          <w:lang w:val="en-GB"/>
        </w:rPr>
        <w:tab/>
      </w:r>
      <w:r w:rsidRPr="005D40AD">
        <w:rPr>
          <w:b/>
          <w:lang w:val="en-GB"/>
        </w:rPr>
        <w:tab/>
      </w:r>
      <w:r w:rsidRPr="005D40AD">
        <w:rPr>
          <w:lang w:val="en-GB"/>
        </w:rPr>
        <w:t>Central Criminal Investigation Unit</w:t>
      </w:r>
    </w:p>
    <w:p w:rsidR="00711F6E" w:rsidRPr="005D40AD" w:rsidRDefault="00711F6E" w:rsidP="00711F6E">
      <w:pPr>
        <w:autoSpaceDE w:val="0"/>
        <w:jc w:val="both"/>
        <w:rPr>
          <w:lang w:val="en-GB"/>
        </w:rPr>
      </w:pPr>
      <w:r w:rsidRPr="005D40AD">
        <w:rPr>
          <w:b/>
          <w:lang w:val="en-GB"/>
        </w:rPr>
        <w:t>CCPR</w:t>
      </w:r>
      <w:r w:rsidR="00FE3DCB">
        <w:rPr>
          <w:b/>
          <w:lang w:val="en-GB"/>
        </w:rPr>
        <w:tab/>
      </w:r>
      <w:r w:rsidR="00EC5FD9" w:rsidRPr="005D40AD">
        <w:rPr>
          <w:b/>
          <w:lang w:val="en-GB"/>
        </w:rPr>
        <w:tab/>
      </w:r>
      <w:r w:rsidRPr="005D40AD">
        <w:rPr>
          <w:lang w:val="en-GB"/>
        </w:rPr>
        <w:t>International Covenant on Civil and Political Rights</w:t>
      </w:r>
    </w:p>
    <w:p w:rsidR="00711F6E" w:rsidRPr="005D40AD" w:rsidRDefault="00711F6E" w:rsidP="00711F6E">
      <w:pPr>
        <w:autoSpaceDE w:val="0"/>
        <w:jc w:val="both"/>
        <w:rPr>
          <w:lang w:val="en-GB"/>
        </w:rPr>
      </w:pPr>
      <w:r w:rsidRPr="005D40AD">
        <w:rPr>
          <w:b/>
          <w:lang w:val="en-GB"/>
        </w:rPr>
        <w:t>DOJ</w:t>
      </w:r>
      <w:r w:rsidR="00EC5FD9" w:rsidRPr="005D40AD">
        <w:rPr>
          <w:lang w:val="en-GB"/>
        </w:rPr>
        <w:tab/>
      </w:r>
      <w:r w:rsidR="00EC5FD9" w:rsidRPr="005D40AD">
        <w:rPr>
          <w:lang w:val="en-GB"/>
        </w:rPr>
        <w:tab/>
      </w:r>
      <w:r w:rsidRPr="005D40AD">
        <w:rPr>
          <w:lang w:val="en-GB"/>
        </w:rPr>
        <w:t>Department of Justice</w:t>
      </w:r>
    </w:p>
    <w:p w:rsidR="00711F6E" w:rsidRPr="005D40AD" w:rsidRDefault="00711F6E" w:rsidP="00711F6E">
      <w:pPr>
        <w:autoSpaceDE w:val="0"/>
        <w:jc w:val="both"/>
        <w:rPr>
          <w:lang w:val="en-GB"/>
        </w:rPr>
      </w:pPr>
      <w:r w:rsidRPr="005D40AD">
        <w:rPr>
          <w:b/>
          <w:lang w:val="en-GB"/>
        </w:rPr>
        <w:t>ECHR</w:t>
      </w:r>
      <w:r w:rsidR="00FE3DCB">
        <w:rPr>
          <w:b/>
          <w:lang w:val="en-GB"/>
        </w:rPr>
        <w:tab/>
      </w:r>
      <w:r w:rsidR="00EC5FD9" w:rsidRPr="005D40AD">
        <w:rPr>
          <w:lang w:val="en-GB"/>
        </w:rPr>
        <w:tab/>
      </w:r>
      <w:r w:rsidRPr="005D40AD">
        <w:rPr>
          <w:lang w:val="en-GB"/>
        </w:rPr>
        <w:t>European Convention on Human Rights</w:t>
      </w:r>
    </w:p>
    <w:p w:rsidR="00711F6E" w:rsidRPr="005D40AD" w:rsidRDefault="00711F6E" w:rsidP="00711F6E">
      <w:pPr>
        <w:autoSpaceDE w:val="0"/>
        <w:jc w:val="both"/>
        <w:rPr>
          <w:lang w:val="en-GB"/>
        </w:rPr>
      </w:pPr>
      <w:r w:rsidRPr="005D40AD">
        <w:rPr>
          <w:b/>
          <w:lang w:val="en-GB"/>
        </w:rPr>
        <w:t>ECtHR</w:t>
      </w:r>
      <w:r w:rsidRPr="005D40AD">
        <w:rPr>
          <w:lang w:val="en-GB"/>
        </w:rPr>
        <w:t xml:space="preserve"> </w:t>
      </w:r>
      <w:r w:rsidR="00EC5FD9" w:rsidRPr="005D40AD">
        <w:rPr>
          <w:lang w:val="en-GB"/>
        </w:rPr>
        <w:tab/>
      </w:r>
      <w:r w:rsidRPr="005D40AD">
        <w:rPr>
          <w:lang w:val="en-GB"/>
        </w:rPr>
        <w:t xml:space="preserve">European Court of Human Rights </w:t>
      </w:r>
    </w:p>
    <w:p w:rsidR="00711F6E" w:rsidRPr="005D40AD" w:rsidRDefault="00711F6E" w:rsidP="00711F6E">
      <w:pPr>
        <w:autoSpaceDE w:val="0"/>
        <w:jc w:val="both"/>
        <w:rPr>
          <w:lang w:val="en-GB"/>
        </w:rPr>
      </w:pPr>
      <w:r w:rsidRPr="005D40AD">
        <w:rPr>
          <w:b/>
          <w:lang w:val="en-GB"/>
        </w:rPr>
        <w:t>EU</w:t>
      </w:r>
      <w:r w:rsidR="00EC5FD9" w:rsidRPr="005D40AD">
        <w:rPr>
          <w:lang w:val="en-GB"/>
        </w:rPr>
        <w:tab/>
      </w:r>
      <w:r w:rsidR="00EC5FD9" w:rsidRPr="005D40AD">
        <w:rPr>
          <w:lang w:val="en-GB"/>
        </w:rPr>
        <w:tab/>
      </w:r>
      <w:r w:rsidRPr="005D40AD">
        <w:rPr>
          <w:lang w:val="en-GB"/>
        </w:rPr>
        <w:t>European Union</w:t>
      </w:r>
    </w:p>
    <w:p w:rsidR="00711F6E" w:rsidRPr="005D40AD" w:rsidRDefault="00711F6E" w:rsidP="00711F6E">
      <w:pPr>
        <w:autoSpaceDE w:val="0"/>
        <w:jc w:val="both"/>
        <w:rPr>
          <w:lang w:val="en-GB"/>
        </w:rPr>
      </w:pPr>
      <w:r w:rsidRPr="005D40AD">
        <w:rPr>
          <w:b/>
          <w:lang w:val="en-GB"/>
        </w:rPr>
        <w:t>EULEX</w:t>
      </w:r>
      <w:r w:rsidRPr="005D40AD">
        <w:rPr>
          <w:lang w:val="en-GB"/>
        </w:rPr>
        <w:t xml:space="preserve">  </w:t>
      </w:r>
      <w:r w:rsidR="00EC5FD9" w:rsidRPr="005D40AD">
        <w:rPr>
          <w:lang w:val="en-GB"/>
        </w:rPr>
        <w:tab/>
      </w:r>
      <w:r w:rsidRPr="005D40AD">
        <w:rPr>
          <w:lang w:val="en-GB"/>
        </w:rPr>
        <w:t>European Union Rule of Law Mission in Kosovo</w:t>
      </w:r>
    </w:p>
    <w:p w:rsidR="00711F6E" w:rsidRPr="005D40AD" w:rsidRDefault="00711F6E" w:rsidP="00711F6E">
      <w:pPr>
        <w:autoSpaceDE w:val="0"/>
        <w:jc w:val="both"/>
        <w:rPr>
          <w:lang w:val="en-GB"/>
        </w:rPr>
      </w:pPr>
      <w:r w:rsidRPr="005D40AD">
        <w:rPr>
          <w:b/>
          <w:lang w:val="en-GB"/>
        </w:rPr>
        <w:t>FRY</w:t>
      </w:r>
      <w:r w:rsidR="00EC5FD9" w:rsidRPr="005D40AD">
        <w:rPr>
          <w:lang w:val="en-GB"/>
        </w:rPr>
        <w:tab/>
      </w:r>
      <w:r w:rsidR="00EC5FD9" w:rsidRPr="005D40AD">
        <w:rPr>
          <w:lang w:val="en-GB"/>
        </w:rPr>
        <w:tab/>
      </w:r>
      <w:r w:rsidRPr="005D40AD">
        <w:rPr>
          <w:lang w:val="en-GB"/>
        </w:rPr>
        <w:t xml:space="preserve">Federal Republic of Yugoslavia </w:t>
      </w:r>
    </w:p>
    <w:p w:rsidR="00711F6E" w:rsidRPr="005D40AD" w:rsidRDefault="00711F6E" w:rsidP="00711F6E">
      <w:pPr>
        <w:autoSpaceDE w:val="0"/>
        <w:jc w:val="both"/>
        <w:rPr>
          <w:lang w:val="en-GB"/>
        </w:rPr>
      </w:pPr>
      <w:r w:rsidRPr="005D40AD">
        <w:rPr>
          <w:b/>
          <w:lang w:val="en-GB"/>
        </w:rPr>
        <w:t>HRAP</w:t>
      </w:r>
      <w:r w:rsidR="00FE3DCB">
        <w:rPr>
          <w:b/>
          <w:lang w:val="en-GB"/>
        </w:rPr>
        <w:tab/>
      </w:r>
      <w:r w:rsidR="00EC5FD9" w:rsidRPr="005D40AD">
        <w:rPr>
          <w:lang w:val="en-GB"/>
        </w:rPr>
        <w:tab/>
      </w:r>
      <w:r w:rsidRPr="005D40AD">
        <w:rPr>
          <w:lang w:val="en-GB"/>
        </w:rPr>
        <w:t>Human Rights Advisory Panel</w:t>
      </w:r>
    </w:p>
    <w:p w:rsidR="00711F6E" w:rsidRPr="005D40AD" w:rsidRDefault="00711F6E" w:rsidP="00711F6E">
      <w:pPr>
        <w:autoSpaceDE w:val="0"/>
        <w:jc w:val="both"/>
        <w:rPr>
          <w:lang w:val="en-GB"/>
        </w:rPr>
      </w:pPr>
      <w:r w:rsidRPr="005D40AD">
        <w:rPr>
          <w:b/>
          <w:lang w:val="en-GB"/>
        </w:rPr>
        <w:t>HRC</w:t>
      </w:r>
      <w:r w:rsidR="00FE3DCB">
        <w:rPr>
          <w:b/>
          <w:lang w:val="en-GB"/>
        </w:rPr>
        <w:tab/>
      </w:r>
      <w:r w:rsidR="00EC5FD9" w:rsidRPr="005D40AD">
        <w:rPr>
          <w:lang w:val="en-GB"/>
        </w:rPr>
        <w:tab/>
      </w:r>
      <w:r w:rsidRPr="005D40AD">
        <w:rPr>
          <w:lang w:val="en-GB"/>
        </w:rPr>
        <w:t>United Nation Human Rights Committee</w:t>
      </w:r>
    </w:p>
    <w:p w:rsidR="00711F6E" w:rsidRPr="005D40AD" w:rsidRDefault="00711F6E" w:rsidP="00711F6E">
      <w:pPr>
        <w:autoSpaceDE w:val="0"/>
        <w:jc w:val="both"/>
        <w:rPr>
          <w:lang w:val="en-GB"/>
        </w:rPr>
      </w:pPr>
      <w:r w:rsidRPr="005D40AD">
        <w:rPr>
          <w:b/>
          <w:lang w:val="en-GB"/>
        </w:rPr>
        <w:t>IACtHR</w:t>
      </w:r>
      <w:r w:rsidRPr="005D40AD">
        <w:rPr>
          <w:lang w:val="en-GB"/>
        </w:rPr>
        <w:t xml:space="preserve"> </w:t>
      </w:r>
      <w:r w:rsidR="00EC5FD9" w:rsidRPr="005D40AD">
        <w:rPr>
          <w:lang w:val="en-GB"/>
        </w:rPr>
        <w:tab/>
      </w:r>
      <w:r w:rsidRPr="005D40AD">
        <w:rPr>
          <w:lang w:val="en-GB"/>
        </w:rPr>
        <w:t>Inter-American Court of Human Rights</w:t>
      </w:r>
    </w:p>
    <w:p w:rsidR="00711F6E" w:rsidRPr="005D40AD" w:rsidRDefault="00711F6E" w:rsidP="00711F6E">
      <w:pPr>
        <w:autoSpaceDE w:val="0"/>
        <w:jc w:val="both"/>
        <w:rPr>
          <w:lang w:val="en-GB"/>
        </w:rPr>
      </w:pPr>
      <w:r w:rsidRPr="005D40AD">
        <w:rPr>
          <w:b/>
          <w:lang w:val="en-GB"/>
        </w:rPr>
        <w:t>ICMP</w:t>
      </w:r>
      <w:r w:rsidRPr="005D40AD">
        <w:rPr>
          <w:lang w:val="en-GB"/>
        </w:rPr>
        <w:t xml:space="preserve">  </w:t>
      </w:r>
      <w:r w:rsidR="00EC5FD9" w:rsidRPr="005D40AD">
        <w:rPr>
          <w:lang w:val="en-GB"/>
        </w:rPr>
        <w:tab/>
      </w:r>
      <w:r w:rsidRPr="005D40AD">
        <w:rPr>
          <w:lang w:val="en-GB"/>
        </w:rPr>
        <w:t>International Commission of Missing Persons</w:t>
      </w:r>
    </w:p>
    <w:p w:rsidR="00711F6E" w:rsidRPr="005D40AD" w:rsidRDefault="00711F6E" w:rsidP="00711F6E">
      <w:pPr>
        <w:autoSpaceDE w:val="0"/>
        <w:jc w:val="both"/>
        <w:rPr>
          <w:lang w:val="en-GB"/>
        </w:rPr>
      </w:pPr>
      <w:r w:rsidRPr="005D40AD">
        <w:rPr>
          <w:b/>
          <w:lang w:val="en-GB"/>
        </w:rPr>
        <w:t>ICRC</w:t>
      </w:r>
      <w:r w:rsidRPr="005D40AD">
        <w:rPr>
          <w:lang w:val="en-GB"/>
        </w:rPr>
        <w:t xml:space="preserve"> </w:t>
      </w:r>
      <w:r w:rsidR="00EC5FD9" w:rsidRPr="005D40AD">
        <w:rPr>
          <w:lang w:val="en-GB"/>
        </w:rPr>
        <w:tab/>
      </w:r>
      <w:r w:rsidRPr="005D40AD">
        <w:rPr>
          <w:lang w:val="en-GB"/>
        </w:rPr>
        <w:t xml:space="preserve"> </w:t>
      </w:r>
      <w:r w:rsidR="00EC5FD9" w:rsidRPr="005D40AD">
        <w:rPr>
          <w:lang w:val="en-GB"/>
        </w:rPr>
        <w:tab/>
      </w:r>
      <w:r w:rsidRPr="005D40AD">
        <w:rPr>
          <w:lang w:val="en-GB"/>
        </w:rPr>
        <w:t>International Committee of the Red Cross</w:t>
      </w:r>
    </w:p>
    <w:p w:rsidR="00711F6E" w:rsidRPr="005D40AD" w:rsidRDefault="00711F6E" w:rsidP="00711F6E">
      <w:pPr>
        <w:autoSpaceDE w:val="0"/>
        <w:jc w:val="both"/>
        <w:rPr>
          <w:lang w:val="en-GB"/>
        </w:rPr>
      </w:pPr>
      <w:r w:rsidRPr="005D40AD">
        <w:rPr>
          <w:b/>
          <w:lang w:val="en-GB"/>
        </w:rPr>
        <w:t>KFOR</w:t>
      </w:r>
      <w:r w:rsidR="00FE3DCB">
        <w:rPr>
          <w:b/>
          <w:lang w:val="en-GB"/>
        </w:rPr>
        <w:tab/>
      </w:r>
      <w:r w:rsidR="00EC5FD9" w:rsidRPr="005D40AD">
        <w:rPr>
          <w:lang w:val="en-GB"/>
        </w:rPr>
        <w:tab/>
      </w:r>
      <w:r w:rsidRPr="005D40AD">
        <w:rPr>
          <w:lang w:val="en-GB"/>
        </w:rPr>
        <w:t>International Security Force (commonly known as Kosovo Force)</w:t>
      </w:r>
    </w:p>
    <w:p w:rsidR="00FE3DCB" w:rsidRPr="000A5C0C" w:rsidRDefault="00FE3DCB" w:rsidP="00FE3DCB">
      <w:pPr>
        <w:tabs>
          <w:tab w:val="left" w:pos="1134"/>
        </w:tabs>
        <w:autoSpaceDE w:val="0"/>
        <w:jc w:val="both"/>
        <w:rPr>
          <w:lang w:val="en-GB"/>
        </w:rPr>
      </w:pPr>
      <w:r w:rsidRPr="000A5C0C">
        <w:rPr>
          <w:b/>
          <w:lang w:val="en-GB"/>
        </w:rPr>
        <w:t>KLA</w:t>
      </w:r>
      <w:r>
        <w:rPr>
          <w:b/>
          <w:lang w:val="en-GB"/>
        </w:rPr>
        <w:tab/>
      </w:r>
      <w:r w:rsidRPr="000A5C0C">
        <w:rPr>
          <w:b/>
          <w:lang w:val="en-GB"/>
        </w:rPr>
        <w:tab/>
      </w:r>
      <w:r w:rsidRPr="000A5C0C">
        <w:rPr>
          <w:lang w:val="en-GB"/>
        </w:rPr>
        <w:t xml:space="preserve">Kosovo Liberation Army (Albanian: </w:t>
      </w:r>
      <w:proofErr w:type="spellStart"/>
      <w:r w:rsidRPr="000A5C0C">
        <w:rPr>
          <w:i/>
          <w:iCs/>
          <w:shd w:val="clear" w:color="auto" w:fill="FFFFFF"/>
          <w:lang w:val="en-GB"/>
        </w:rPr>
        <w:t>Ushtria</w:t>
      </w:r>
      <w:proofErr w:type="spellEnd"/>
      <w:r w:rsidRPr="000A5C0C">
        <w:rPr>
          <w:i/>
          <w:iCs/>
          <w:shd w:val="clear" w:color="auto" w:fill="FFFFFF"/>
          <w:lang w:val="en-GB"/>
        </w:rPr>
        <w:t xml:space="preserve"> </w:t>
      </w:r>
      <w:proofErr w:type="spellStart"/>
      <w:r w:rsidRPr="000A5C0C">
        <w:rPr>
          <w:i/>
          <w:iCs/>
          <w:shd w:val="clear" w:color="auto" w:fill="FFFFFF"/>
          <w:lang w:val="en-GB"/>
        </w:rPr>
        <w:t>Çlirimtare</w:t>
      </w:r>
      <w:proofErr w:type="spellEnd"/>
      <w:r w:rsidRPr="000A5C0C">
        <w:rPr>
          <w:i/>
          <w:iCs/>
          <w:shd w:val="clear" w:color="auto" w:fill="FFFFFF"/>
          <w:lang w:val="en-GB"/>
        </w:rPr>
        <w:t xml:space="preserve"> e </w:t>
      </w:r>
      <w:proofErr w:type="spellStart"/>
      <w:r w:rsidRPr="000A5C0C">
        <w:rPr>
          <w:i/>
          <w:iCs/>
          <w:shd w:val="clear" w:color="auto" w:fill="FFFFFF"/>
          <w:lang w:val="en-GB"/>
        </w:rPr>
        <w:t>Kosovës</w:t>
      </w:r>
      <w:proofErr w:type="spellEnd"/>
      <w:r w:rsidRPr="000A5C0C">
        <w:rPr>
          <w:i/>
          <w:iCs/>
          <w:shd w:val="clear" w:color="auto" w:fill="FFFFFF"/>
          <w:lang w:val="en-GB"/>
        </w:rPr>
        <w:t>, UÇK</w:t>
      </w:r>
      <w:r w:rsidRPr="000A5C0C">
        <w:rPr>
          <w:lang w:val="en-GB"/>
        </w:rPr>
        <w:t>)</w:t>
      </w:r>
    </w:p>
    <w:p w:rsidR="00711F6E" w:rsidRPr="005D40AD" w:rsidRDefault="00711F6E" w:rsidP="00711F6E">
      <w:pPr>
        <w:autoSpaceDE w:val="0"/>
        <w:jc w:val="both"/>
        <w:rPr>
          <w:lang w:val="en-GB"/>
        </w:rPr>
      </w:pPr>
      <w:r w:rsidRPr="005D40AD">
        <w:rPr>
          <w:b/>
          <w:lang w:val="en-GB"/>
        </w:rPr>
        <w:t>MPU</w:t>
      </w:r>
      <w:r w:rsidR="00FE3DCB">
        <w:rPr>
          <w:b/>
          <w:lang w:val="en-GB"/>
        </w:rPr>
        <w:tab/>
      </w:r>
      <w:r w:rsidR="00EC5FD9" w:rsidRPr="005D40AD">
        <w:rPr>
          <w:lang w:val="en-GB"/>
        </w:rPr>
        <w:tab/>
      </w:r>
      <w:r w:rsidRPr="005D40AD">
        <w:rPr>
          <w:lang w:val="en-GB"/>
        </w:rPr>
        <w:t>Missing Persons Unit</w:t>
      </w:r>
    </w:p>
    <w:p w:rsidR="00711F6E" w:rsidRPr="005D40AD" w:rsidRDefault="00711F6E" w:rsidP="00711F6E">
      <w:pPr>
        <w:autoSpaceDE w:val="0"/>
        <w:jc w:val="both"/>
        <w:rPr>
          <w:lang w:val="en-GB"/>
        </w:rPr>
      </w:pPr>
      <w:r w:rsidRPr="005D40AD">
        <w:rPr>
          <w:b/>
          <w:lang w:val="en-GB"/>
        </w:rPr>
        <w:t>NATO</w:t>
      </w:r>
      <w:r w:rsidRPr="005D40AD">
        <w:rPr>
          <w:lang w:val="en-GB"/>
        </w:rPr>
        <w:t xml:space="preserve"> </w:t>
      </w:r>
      <w:r w:rsidR="00EC5FD9" w:rsidRPr="005D40AD">
        <w:rPr>
          <w:lang w:val="en-GB"/>
        </w:rPr>
        <w:tab/>
      </w:r>
      <w:r w:rsidRPr="005D40AD">
        <w:rPr>
          <w:lang w:val="en-GB"/>
        </w:rPr>
        <w:t xml:space="preserve">North Atlantic Treaty Organization </w:t>
      </w:r>
    </w:p>
    <w:p w:rsidR="00C4361F" w:rsidRPr="005D40AD" w:rsidRDefault="00C4361F" w:rsidP="00711F6E">
      <w:pPr>
        <w:autoSpaceDE w:val="0"/>
        <w:jc w:val="both"/>
        <w:rPr>
          <w:lang w:val="en-GB"/>
        </w:rPr>
      </w:pPr>
      <w:r w:rsidRPr="005D40AD">
        <w:rPr>
          <w:b/>
          <w:lang w:val="en-GB"/>
        </w:rPr>
        <w:t>OLA</w:t>
      </w:r>
      <w:r w:rsidRPr="005D40AD">
        <w:rPr>
          <w:lang w:val="en-GB"/>
        </w:rPr>
        <w:tab/>
      </w:r>
      <w:r w:rsidRPr="005D40AD">
        <w:rPr>
          <w:lang w:val="en-GB"/>
        </w:rPr>
        <w:tab/>
        <w:t xml:space="preserve">Office of </w:t>
      </w:r>
      <w:proofErr w:type="gramStart"/>
      <w:r w:rsidRPr="005D40AD">
        <w:rPr>
          <w:lang w:val="en-GB"/>
        </w:rPr>
        <w:t>The</w:t>
      </w:r>
      <w:proofErr w:type="gramEnd"/>
      <w:r w:rsidRPr="005D40AD">
        <w:rPr>
          <w:lang w:val="en-GB"/>
        </w:rPr>
        <w:t xml:space="preserve"> Legal Advisor of UNMIK</w:t>
      </w:r>
    </w:p>
    <w:p w:rsidR="00711F6E" w:rsidRPr="005D40AD" w:rsidRDefault="00711F6E" w:rsidP="00711F6E">
      <w:pPr>
        <w:autoSpaceDE w:val="0"/>
        <w:jc w:val="both"/>
        <w:rPr>
          <w:lang w:val="en-GB"/>
        </w:rPr>
      </w:pPr>
      <w:r w:rsidRPr="005D40AD">
        <w:rPr>
          <w:b/>
          <w:lang w:val="en-GB"/>
        </w:rPr>
        <w:t>OMPF</w:t>
      </w:r>
      <w:r w:rsidRPr="005D40AD">
        <w:rPr>
          <w:lang w:val="en-GB"/>
        </w:rPr>
        <w:t xml:space="preserve"> </w:t>
      </w:r>
      <w:r w:rsidR="00EC5FD9" w:rsidRPr="005D40AD">
        <w:rPr>
          <w:lang w:val="en-GB"/>
        </w:rPr>
        <w:tab/>
      </w:r>
      <w:r w:rsidRPr="005D40AD">
        <w:rPr>
          <w:lang w:val="en-GB"/>
        </w:rPr>
        <w:t>Office on Missing Persons and Forensics</w:t>
      </w:r>
    </w:p>
    <w:p w:rsidR="00711F6E" w:rsidRPr="005D40AD" w:rsidRDefault="00711F6E" w:rsidP="00711F6E">
      <w:pPr>
        <w:autoSpaceDE w:val="0"/>
        <w:jc w:val="both"/>
        <w:rPr>
          <w:lang w:val="en-GB"/>
        </w:rPr>
      </w:pPr>
      <w:r w:rsidRPr="005D40AD">
        <w:rPr>
          <w:b/>
          <w:lang w:val="en-GB"/>
        </w:rPr>
        <w:t>OSCE</w:t>
      </w:r>
      <w:r w:rsidRPr="005D40AD">
        <w:rPr>
          <w:lang w:val="en-GB"/>
        </w:rPr>
        <w:t xml:space="preserve">  </w:t>
      </w:r>
      <w:r w:rsidR="00EC5FD9" w:rsidRPr="005D40AD">
        <w:rPr>
          <w:lang w:val="en-GB"/>
        </w:rPr>
        <w:tab/>
      </w:r>
      <w:r w:rsidRPr="005D40AD">
        <w:rPr>
          <w:lang w:val="en-GB"/>
        </w:rPr>
        <w:t>Organization for Security and Cooperation in Europe</w:t>
      </w:r>
    </w:p>
    <w:p w:rsidR="00711F6E" w:rsidRPr="005D40AD" w:rsidRDefault="00711F6E" w:rsidP="00711F6E">
      <w:pPr>
        <w:autoSpaceDE w:val="0"/>
        <w:jc w:val="both"/>
        <w:rPr>
          <w:lang w:val="en-GB"/>
        </w:rPr>
      </w:pPr>
      <w:r w:rsidRPr="005D40AD">
        <w:rPr>
          <w:b/>
          <w:lang w:val="en-GB"/>
        </w:rPr>
        <w:t>RIU</w:t>
      </w:r>
      <w:r w:rsidRPr="005D40AD">
        <w:rPr>
          <w:lang w:val="en-GB"/>
        </w:rPr>
        <w:t xml:space="preserve">  </w:t>
      </w:r>
      <w:r w:rsidR="00EC5FD9" w:rsidRPr="005D40AD">
        <w:rPr>
          <w:lang w:val="en-GB"/>
        </w:rPr>
        <w:tab/>
      </w:r>
      <w:r w:rsidR="00EC5FD9" w:rsidRPr="005D40AD">
        <w:rPr>
          <w:lang w:val="en-GB"/>
        </w:rPr>
        <w:tab/>
      </w:r>
      <w:r w:rsidRPr="005D40AD">
        <w:rPr>
          <w:lang w:val="en-GB"/>
        </w:rPr>
        <w:t>Regional Investigation Unit</w:t>
      </w:r>
    </w:p>
    <w:p w:rsidR="00C4361F" w:rsidRPr="005D40AD" w:rsidRDefault="00C4361F" w:rsidP="00711F6E">
      <w:pPr>
        <w:autoSpaceDE w:val="0"/>
        <w:jc w:val="both"/>
        <w:rPr>
          <w:lang w:val="en-GB"/>
        </w:rPr>
      </w:pPr>
      <w:r w:rsidRPr="005D40AD">
        <w:rPr>
          <w:b/>
          <w:lang w:val="en-GB"/>
        </w:rPr>
        <w:t>RMS</w:t>
      </w:r>
      <w:r w:rsidRPr="005D40AD">
        <w:rPr>
          <w:lang w:val="en-GB"/>
        </w:rPr>
        <w:tab/>
      </w:r>
      <w:r w:rsidRPr="005D40AD">
        <w:rPr>
          <w:lang w:val="en-GB"/>
        </w:rPr>
        <w:tab/>
        <w:t>Regional Murder Squad</w:t>
      </w:r>
    </w:p>
    <w:p w:rsidR="00FE3DCB" w:rsidRDefault="00FE3DCB" w:rsidP="00711F6E">
      <w:pPr>
        <w:autoSpaceDE w:val="0"/>
        <w:jc w:val="both"/>
        <w:rPr>
          <w:b/>
          <w:lang w:val="en-GB"/>
        </w:rPr>
      </w:pPr>
      <w:r w:rsidRPr="00FE3DCB">
        <w:rPr>
          <w:b/>
          <w:bCs/>
          <w:lang w:val="en-GB"/>
        </w:rPr>
        <w:t>SPOLAD</w:t>
      </w:r>
      <w:r>
        <w:rPr>
          <w:bCs/>
          <w:lang w:val="en-GB"/>
        </w:rPr>
        <w:tab/>
      </w:r>
      <w:r w:rsidRPr="00BB555C">
        <w:rPr>
          <w:bCs/>
          <w:lang w:val="en-GB"/>
        </w:rPr>
        <w:t>UNMIK Senior Police Advisor</w:t>
      </w:r>
    </w:p>
    <w:p w:rsidR="00711F6E" w:rsidRPr="005D40AD" w:rsidRDefault="00711F6E" w:rsidP="00711F6E">
      <w:pPr>
        <w:autoSpaceDE w:val="0"/>
        <w:jc w:val="both"/>
        <w:rPr>
          <w:lang w:val="en-GB"/>
        </w:rPr>
      </w:pPr>
      <w:r w:rsidRPr="005D40AD">
        <w:rPr>
          <w:b/>
          <w:lang w:val="en-GB"/>
        </w:rPr>
        <w:t>SRSG</w:t>
      </w:r>
      <w:r w:rsidR="00FE3DCB">
        <w:rPr>
          <w:b/>
          <w:lang w:val="en-GB"/>
        </w:rPr>
        <w:tab/>
      </w:r>
      <w:r w:rsidR="00EC5FD9" w:rsidRPr="005D40AD">
        <w:rPr>
          <w:lang w:val="en-GB"/>
        </w:rPr>
        <w:tab/>
      </w:r>
      <w:r w:rsidRPr="005D40AD">
        <w:rPr>
          <w:lang w:val="en-GB"/>
        </w:rPr>
        <w:t xml:space="preserve">Special Representative of the Secretary-General </w:t>
      </w:r>
    </w:p>
    <w:p w:rsidR="00711F6E" w:rsidRPr="005D40AD" w:rsidRDefault="00711F6E" w:rsidP="00711F6E">
      <w:pPr>
        <w:autoSpaceDE w:val="0"/>
        <w:jc w:val="both"/>
        <w:rPr>
          <w:lang w:val="en-GB"/>
        </w:rPr>
      </w:pPr>
      <w:r w:rsidRPr="005D40AD">
        <w:rPr>
          <w:b/>
          <w:lang w:val="en-GB"/>
        </w:rPr>
        <w:t>UN</w:t>
      </w:r>
      <w:r w:rsidR="00EC5FD9" w:rsidRPr="005D40AD">
        <w:rPr>
          <w:lang w:val="en-GB"/>
        </w:rPr>
        <w:t xml:space="preserve"> </w:t>
      </w:r>
      <w:r w:rsidRPr="005D40AD">
        <w:rPr>
          <w:lang w:val="en-GB"/>
        </w:rPr>
        <w:t xml:space="preserve"> </w:t>
      </w:r>
      <w:r w:rsidR="00EC5FD9" w:rsidRPr="005D40AD">
        <w:rPr>
          <w:lang w:val="en-GB"/>
        </w:rPr>
        <w:tab/>
      </w:r>
      <w:r w:rsidR="00EC5FD9" w:rsidRPr="005D40AD">
        <w:rPr>
          <w:lang w:val="en-GB"/>
        </w:rPr>
        <w:tab/>
      </w:r>
      <w:r w:rsidRPr="005D40AD">
        <w:rPr>
          <w:lang w:val="en-GB"/>
        </w:rPr>
        <w:t>United Nations</w:t>
      </w:r>
    </w:p>
    <w:p w:rsidR="00711F6E" w:rsidRPr="005D40AD" w:rsidRDefault="00711F6E" w:rsidP="00711F6E">
      <w:pPr>
        <w:autoSpaceDE w:val="0"/>
        <w:jc w:val="both"/>
        <w:rPr>
          <w:lang w:val="en-GB"/>
        </w:rPr>
      </w:pPr>
      <w:r w:rsidRPr="005D40AD">
        <w:rPr>
          <w:b/>
          <w:lang w:val="en-GB"/>
        </w:rPr>
        <w:t xml:space="preserve">UNHCR </w:t>
      </w:r>
      <w:r w:rsidRPr="005D40AD">
        <w:rPr>
          <w:lang w:val="en-GB"/>
        </w:rPr>
        <w:t xml:space="preserve"> </w:t>
      </w:r>
      <w:r w:rsidR="00EC5FD9" w:rsidRPr="005D40AD">
        <w:rPr>
          <w:lang w:val="en-GB"/>
        </w:rPr>
        <w:tab/>
      </w:r>
      <w:r w:rsidRPr="005D40AD">
        <w:rPr>
          <w:lang w:val="en-GB"/>
        </w:rPr>
        <w:t>United Nations High Commissioner for Refugees</w:t>
      </w:r>
    </w:p>
    <w:p w:rsidR="00711F6E" w:rsidRPr="005D40AD" w:rsidRDefault="00711F6E" w:rsidP="00711F6E">
      <w:pPr>
        <w:autoSpaceDE w:val="0"/>
        <w:jc w:val="both"/>
        <w:rPr>
          <w:lang w:val="en-GB"/>
        </w:rPr>
      </w:pPr>
      <w:r w:rsidRPr="005D40AD">
        <w:rPr>
          <w:b/>
          <w:lang w:val="en-GB"/>
        </w:rPr>
        <w:t>UNMIK</w:t>
      </w:r>
      <w:r w:rsidRPr="005D40AD">
        <w:rPr>
          <w:lang w:val="en-GB"/>
        </w:rPr>
        <w:t xml:space="preserve">  </w:t>
      </w:r>
      <w:r w:rsidR="00EC5FD9" w:rsidRPr="005D40AD">
        <w:rPr>
          <w:lang w:val="en-GB"/>
        </w:rPr>
        <w:tab/>
      </w:r>
      <w:r w:rsidRPr="005D40AD">
        <w:rPr>
          <w:lang w:val="en-GB"/>
        </w:rPr>
        <w:t xml:space="preserve">United Nations Interim Administration Mission in Kosovo </w:t>
      </w:r>
    </w:p>
    <w:p w:rsidR="00711F6E" w:rsidRPr="005D40AD" w:rsidRDefault="00711F6E" w:rsidP="00711F6E">
      <w:pPr>
        <w:autoSpaceDE w:val="0"/>
        <w:jc w:val="both"/>
        <w:rPr>
          <w:lang w:val="en-GB"/>
        </w:rPr>
      </w:pPr>
      <w:r w:rsidRPr="005D40AD">
        <w:rPr>
          <w:b/>
          <w:lang w:val="en-GB"/>
        </w:rPr>
        <w:t>VRIC</w:t>
      </w:r>
      <w:r w:rsidRPr="005D40AD">
        <w:rPr>
          <w:lang w:val="en-GB"/>
        </w:rPr>
        <w:t xml:space="preserve">  </w:t>
      </w:r>
      <w:r w:rsidR="00EC5FD9" w:rsidRPr="005D40AD">
        <w:rPr>
          <w:lang w:val="en-GB"/>
        </w:rPr>
        <w:tab/>
      </w:r>
      <w:r w:rsidRPr="005D40AD">
        <w:rPr>
          <w:lang w:val="en-GB"/>
        </w:rPr>
        <w:t>Victim Recovery and Identification Commission</w:t>
      </w:r>
    </w:p>
    <w:p w:rsidR="00546DB5" w:rsidRPr="005D40AD" w:rsidRDefault="00711F6E" w:rsidP="00DF23A8">
      <w:pPr>
        <w:autoSpaceDE w:val="0"/>
        <w:jc w:val="both"/>
        <w:rPr>
          <w:lang w:val="en-GB"/>
        </w:rPr>
      </w:pPr>
      <w:r w:rsidRPr="005D40AD">
        <w:rPr>
          <w:b/>
          <w:lang w:val="en-GB"/>
        </w:rPr>
        <w:t xml:space="preserve">WCIU </w:t>
      </w:r>
      <w:r w:rsidRPr="005D40AD">
        <w:rPr>
          <w:lang w:val="en-GB"/>
        </w:rPr>
        <w:t xml:space="preserve"> </w:t>
      </w:r>
      <w:r w:rsidR="00EC5FD9" w:rsidRPr="005D40AD">
        <w:rPr>
          <w:lang w:val="en-GB"/>
        </w:rPr>
        <w:tab/>
      </w:r>
      <w:r w:rsidRPr="005D40AD">
        <w:rPr>
          <w:lang w:val="en-GB"/>
        </w:rPr>
        <w:t>War Crimes Investigation Unit</w:t>
      </w:r>
    </w:p>
    <w:sectPr w:rsidR="00546DB5" w:rsidRPr="005D40AD" w:rsidSect="00CA379B">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27D" w:rsidRDefault="00AC127D">
      <w:r>
        <w:separator/>
      </w:r>
    </w:p>
  </w:endnote>
  <w:endnote w:type="continuationSeparator" w:id="0">
    <w:p w:rsidR="00AC127D" w:rsidRDefault="00AC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27D" w:rsidRDefault="00AC127D">
      <w:r>
        <w:separator/>
      </w:r>
    </w:p>
  </w:footnote>
  <w:footnote w:type="continuationSeparator" w:id="0">
    <w:p w:rsidR="00AC127D" w:rsidRDefault="00AC127D">
      <w:r>
        <w:continuationSeparator/>
      </w:r>
    </w:p>
  </w:footnote>
  <w:footnote w:id="1">
    <w:p w:rsidR="00AC127D" w:rsidRPr="006D1CD0" w:rsidRDefault="00AC127D">
      <w:pPr>
        <w:pStyle w:val="FootnoteText"/>
        <w:rPr>
          <w:sz w:val="20"/>
          <w:lang w:val="en-US"/>
        </w:rPr>
      </w:pPr>
      <w:r w:rsidRPr="004C4D38">
        <w:rPr>
          <w:rFonts w:ascii="Times New Roman" w:hAnsi="Times New Roman"/>
        </w:rPr>
        <w:footnoteRef/>
      </w:r>
      <w:r w:rsidRPr="004C4D38">
        <w:rPr>
          <w:rFonts w:ascii="Times New Roman" w:hAnsi="Times New Roman"/>
          <w:sz w:val="20"/>
        </w:rPr>
        <w:t xml:space="preserve"> A list of abbreviations and acronyms contained in the text can be found in the attached Annex</w:t>
      </w:r>
      <w:r>
        <w:rPr>
          <w:rFonts w:ascii="Times New Roman" w:hAnsi="Times New Roman"/>
          <w:sz w:val="20"/>
        </w:rPr>
        <w:t>.</w:t>
      </w:r>
    </w:p>
  </w:footnote>
  <w:footnote w:id="2">
    <w:p w:rsidR="00AC127D" w:rsidRPr="006D1CD0" w:rsidRDefault="00AC127D" w:rsidP="00680EF0">
      <w:pPr>
        <w:pStyle w:val="FootnoteText"/>
        <w:jc w:val="both"/>
        <w:rPr>
          <w:rFonts w:ascii="Times New Roman" w:hAnsi="Times New Roman"/>
          <w:sz w:val="20"/>
        </w:rPr>
      </w:pPr>
      <w:r w:rsidRPr="006D1CD0">
        <w:rPr>
          <w:rStyle w:val="FootnoteReference"/>
          <w:rFonts w:ascii="Times New Roman" w:hAnsi="Times New Roman"/>
          <w:sz w:val="20"/>
        </w:rPr>
        <w:footnoteRef/>
      </w:r>
      <w:r w:rsidRPr="006D1CD0">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D1CD0">
        <w:rPr>
          <w:rFonts w:ascii="Times New Roman" w:hAnsi="Times New Roman"/>
          <w:i/>
          <w:sz w:val="20"/>
        </w:rPr>
        <w:t xml:space="preserve"> Behrami and Behrami v. France</w:t>
      </w:r>
      <w:r w:rsidRPr="006D1CD0">
        <w:rPr>
          <w:rFonts w:ascii="Times New Roman" w:hAnsi="Times New Roman"/>
          <w:sz w:val="20"/>
        </w:rPr>
        <w:t xml:space="preserve"> and </w:t>
      </w:r>
      <w:r w:rsidRPr="006D1CD0">
        <w:rPr>
          <w:rFonts w:ascii="Times New Roman" w:hAnsi="Times New Roman"/>
          <w:i/>
          <w:sz w:val="20"/>
        </w:rPr>
        <w:t>Saramati v. France, Germany and Norway</w:t>
      </w:r>
      <w:r w:rsidRPr="006D1CD0">
        <w:rPr>
          <w:rFonts w:ascii="Times New Roman" w:hAnsi="Times New Roman"/>
          <w:sz w:val="20"/>
        </w:rPr>
        <w:t xml:space="preserve">, nos. </w:t>
      </w:r>
      <w:r w:rsidRPr="006D1CD0">
        <w:rPr>
          <w:rStyle w:val="sb8d990e2"/>
          <w:rFonts w:ascii="Times New Roman" w:hAnsi="Times New Roman"/>
          <w:sz w:val="20"/>
        </w:rPr>
        <w:t>71412/01 and</w:t>
      </w:r>
      <w:r w:rsidRPr="006D1CD0">
        <w:rPr>
          <w:rFonts w:ascii="Times New Roman" w:hAnsi="Times New Roman"/>
          <w:sz w:val="20"/>
        </w:rPr>
        <w:t xml:space="preserve"> </w:t>
      </w:r>
      <w:r w:rsidRPr="006D1CD0">
        <w:rPr>
          <w:rStyle w:val="sb8d990e2"/>
          <w:rFonts w:ascii="Times New Roman" w:hAnsi="Times New Roman"/>
          <w:sz w:val="20"/>
        </w:rPr>
        <w:t xml:space="preserve">78166/01, </w:t>
      </w:r>
      <w:r w:rsidRPr="006D1CD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6D1CD0">
          <w:rPr>
            <w:rStyle w:val="Hyperlink"/>
            <w:rFonts w:ascii="Times New Roman" w:hAnsi="Times New Roman"/>
            <w:color w:val="auto"/>
            <w:sz w:val="20"/>
          </w:rPr>
          <w:t>www.unhchr.org</w:t>
        </w:r>
      </w:hyperlink>
      <w:r w:rsidRPr="006D1CD0">
        <w:rPr>
          <w:rFonts w:ascii="Times New Roman" w:hAnsi="Times New Roman"/>
          <w:sz w:val="20"/>
        </w:rPr>
        <w:t xml:space="preserve">) and by the International Committee of the Red Cross (available at </w:t>
      </w:r>
      <w:hyperlink r:id="rId2" w:history="1">
        <w:r w:rsidRPr="006D1CD0">
          <w:rPr>
            <w:rStyle w:val="Hyperlink"/>
            <w:rFonts w:ascii="Times New Roman" w:hAnsi="Times New Roman"/>
            <w:color w:val="auto"/>
            <w:sz w:val="20"/>
          </w:rPr>
          <w:t>http://familylinks.icrc.org/kosovo/en</w:t>
        </w:r>
      </w:hyperlink>
      <w:r w:rsidRPr="006D1CD0">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7D" w:rsidRPr="000722CE" w:rsidRDefault="00AC127D">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25DBA">
      <w:rPr>
        <w:noProof/>
        <w:sz w:val="20"/>
        <w:szCs w:val="20"/>
      </w:rPr>
      <w:t>21</w:t>
    </w:r>
    <w:r w:rsidRPr="000722CE">
      <w:rPr>
        <w:sz w:val="20"/>
        <w:szCs w:val="20"/>
      </w:rPr>
      <w:fldChar w:fldCharType="end"/>
    </w:r>
  </w:p>
  <w:p w:rsidR="00AC127D" w:rsidRDefault="00AC1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04D65"/>
    <w:multiLevelType w:val="hybridMultilevel"/>
    <w:tmpl w:val="10329342"/>
    <w:lvl w:ilvl="0" w:tplc="89BEA54E">
      <w:start w:val="171"/>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3" w15:restartNumberingAfterBreak="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7" w15:restartNumberingAfterBreak="0">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15:restartNumberingAfterBreak="0">
    <w:nsid w:val="2F976661"/>
    <w:multiLevelType w:val="hybridMultilevel"/>
    <w:tmpl w:val="819A55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666FC2"/>
    <w:multiLevelType w:val="hybridMultilevel"/>
    <w:tmpl w:val="57A267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41526C"/>
    <w:multiLevelType w:val="hybridMultilevel"/>
    <w:tmpl w:val="209AFA0A"/>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26F6D"/>
    <w:multiLevelType w:val="hybridMultilevel"/>
    <w:tmpl w:val="FA24CBFE"/>
    <w:lvl w:ilvl="0" w:tplc="A91E60F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BB057F"/>
    <w:multiLevelType w:val="hybridMultilevel"/>
    <w:tmpl w:val="DA6879AE"/>
    <w:lvl w:ilvl="0" w:tplc="68BEA04E">
      <w:start w:val="1"/>
      <w:numFmt w:val="decimal"/>
      <w:lvlText w:val="%1."/>
      <w:lvlJc w:val="left"/>
      <w:pPr>
        <w:tabs>
          <w:tab w:val="num" w:pos="360"/>
        </w:tabs>
        <w:ind w:left="360" w:hanging="360"/>
      </w:pPr>
      <w:rPr>
        <w:b w:val="0"/>
        <w:i w:val="0"/>
        <w:color w:val="000000"/>
        <w:sz w:val="24"/>
        <w:szCs w:val="24"/>
      </w:rPr>
    </w:lvl>
    <w:lvl w:ilvl="1" w:tplc="97F6429A">
      <w:start w:val="1"/>
      <w:numFmt w:val="decimal"/>
      <w:lvlText w:val="%2."/>
      <w:lvlJc w:val="left"/>
      <w:pPr>
        <w:tabs>
          <w:tab w:val="num" w:pos="-990"/>
        </w:tabs>
        <w:ind w:left="-990" w:hanging="360"/>
      </w:pPr>
    </w:lvl>
    <w:lvl w:ilvl="2" w:tplc="0409001B">
      <w:start w:val="1"/>
      <w:numFmt w:val="lowerRoman"/>
      <w:lvlText w:val="%3."/>
      <w:lvlJc w:val="right"/>
      <w:pPr>
        <w:tabs>
          <w:tab w:val="num" w:pos="-270"/>
        </w:tabs>
        <w:ind w:left="-270" w:hanging="180"/>
      </w:pPr>
    </w:lvl>
    <w:lvl w:ilvl="3" w:tplc="0409000F">
      <w:start w:val="1"/>
      <w:numFmt w:val="decimal"/>
      <w:lvlText w:val="%4."/>
      <w:lvlJc w:val="left"/>
      <w:pPr>
        <w:tabs>
          <w:tab w:val="num" w:pos="450"/>
        </w:tabs>
        <w:ind w:left="450" w:hanging="360"/>
      </w:pPr>
    </w:lvl>
    <w:lvl w:ilvl="4" w:tplc="AEBA8FDA">
      <w:start w:val="2"/>
      <w:numFmt w:val="upperLetter"/>
      <w:lvlText w:val="%5."/>
      <w:lvlJc w:val="left"/>
      <w:pPr>
        <w:tabs>
          <w:tab w:val="num" w:pos="1170"/>
        </w:tabs>
        <w:ind w:left="1170" w:hanging="360"/>
      </w:pPr>
      <w:rPr>
        <w:b/>
      </w:rPr>
    </w:lvl>
    <w:lvl w:ilvl="5" w:tplc="BCD60060">
      <w:start w:val="1"/>
      <w:numFmt w:val="lowerLetter"/>
      <w:lvlText w:val="%6)"/>
      <w:lvlJc w:val="left"/>
      <w:pPr>
        <w:ind w:left="2070" w:hanging="360"/>
      </w:pPr>
    </w:lvl>
    <w:lvl w:ilvl="6" w:tplc="F3EC48C8">
      <w:numFmt w:val="bullet"/>
      <w:lvlText w:val="-"/>
      <w:lvlJc w:val="left"/>
      <w:pPr>
        <w:ind w:left="2610" w:hanging="360"/>
      </w:pPr>
      <w:rPr>
        <w:rFonts w:ascii="Times New Roman" w:eastAsia="Times New Roman" w:hAnsi="Times New Roman" w:cs="Times New Roman" w:hint="default"/>
      </w:rPr>
    </w:lvl>
    <w:lvl w:ilvl="7" w:tplc="04090019">
      <w:start w:val="1"/>
      <w:numFmt w:val="lowerLetter"/>
      <w:lvlText w:val="%8."/>
      <w:lvlJc w:val="left"/>
      <w:pPr>
        <w:tabs>
          <w:tab w:val="num" w:pos="3330"/>
        </w:tabs>
        <w:ind w:left="3330" w:hanging="360"/>
      </w:pPr>
    </w:lvl>
    <w:lvl w:ilvl="8" w:tplc="0409001B">
      <w:start w:val="1"/>
      <w:numFmt w:val="lowerRoman"/>
      <w:lvlText w:val="%9."/>
      <w:lvlJc w:val="right"/>
      <w:pPr>
        <w:tabs>
          <w:tab w:val="num" w:pos="4050"/>
        </w:tabs>
        <w:ind w:left="4050" w:hanging="180"/>
      </w:pPr>
    </w:lvl>
  </w:abstractNum>
  <w:abstractNum w:abstractNumId="23"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039FF"/>
    <w:multiLevelType w:val="hybridMultilevel"/>
    <w:tmpl w:val="FDD474AA"/>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2AB81A62">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7"/>
  </w:num>
  <w:num w:numId="4">
    <w:abstractNumId w:val="14"/>
  </w:num>
  <w:num w:numId="5">
    <w:abstractNumId w:val="18"/>
  </w:num>
  <w:num w:numId="6">
    <w:abstractNumId w:val="5"/>
  </w:num>
  <w:num w:numId="7">
    <w:abstractNumId w:val="16"/>
  </w:num>
  <w:num w:numId="8">
    <w:abstractNumId w:val="10"/>
  </w:num>
  <w:num w:numId="9">
    <w:abstractNumId w:val="8"/>
  </w:num>
  <w:num w:numId="10">
    <w:abstractNumId w:val="3"/>
  </w:num>
  <w:num w:numId="11">
    <w:abstractNumId w:val="4"/>
  </w:num>
  <w:num w:numId="12">
    <w:abstractNumId w:val="13"/>
  </w:num>
  <w:num w:numId="13">
    <w:abstractNumId w:val="9"/>
  </w:num>
  <w:num w:numId="14">
    <w:abstractNumId w:val="20"/>
  </w:num>
  <w:num w:numId="1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23"/>
  </w:num>
  <w:num w:numId="19">
    <w:abstractNumId w:val="1"/>
  </w:num>
  <w:num w:numId="20">
    <w:abstractNumId w:val="7"/>
  </w:num>
  <w:num w:numId="21">
    <w:abstractNumId w:val="6"/>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2"/>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startOverride w:val="1"/>
    </w:lvlOverride>
    <w:lvlOverride w:ilvl="8">
      <w:startOverride w:val="1"/>
    </w:lvlOverride>
  </w:num>
  <w:num w:numId="31">
    <w:abstractNumId w:val="0"/>
  </w:num>
  <w:num w:numId="32">
    <w:abstractNumId w:val="0"/>
  </w:num>
  <w:num w:numId="3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3387"/>
    <w:rsid w:val="000043BC"/>
    <w:rsid w:val="0000536C"/>
    <w:rsid w:val="00005C16"/>
    <w:rsid w:val="00005CB2"/>
    <w:rsid w:val="00005E51"/>
    <w:rsid w:val="0000633A"/>
    <w:rsid w:val="000072A4"/>
    <w:rsid w:val="00007E91"/>
    <w:rsid w:val="0001052E"/>
    <w:rsid w:val="00012BBB"/>
    <w:rsid w:val="0001317B"/>
    <w:rsid w:val="0001588C"/>
    <w:rsid w:val="00015EAF"/>
    <w:rsid w:val="0002011C"/>
    <w:rsid w:val="000209DC"/>
    <w:rsid w:val="00021480"/>
    <w:rsid w:val="00021552"/>
    <w:rsid w:val="00022E69"/>
    <w:rsid w:val="000233A4"/>
    <w:rsid w:val="00025BD8"/>
    <w:rsid w:val="00025D67"/>
    <w:rsid w:val="00025DC5"/>
    <w:rsid w:val="000300C8"/>
    <w:rsid w:val="00033882"/>
    <w:rsid w:val="00033D6B"/>
    <w:rsid w:val="000344CA"/>
    <w:rsid w:val="00035A70"/>
    <w:rsid w:val="00035EAF"/>
    <w:rsid w:val="00042514"/>
    <w:rsid w:val="00042D53"/>
    <w:rsid w:val="00044820"/>
    <w:rsid w:val="00044FA2"/>
    <w:rsid w:val="000474ED"/>
    <w:rsid w:val="00050B85"/>
    <w:rsid w:val="00054459"/>
    <w:rsid w:val="000565C8"/>
    <w:rsid w:val="00056A25"/>
    <w:rsid w:val="00057B23"/>
    <w:rsid w:val="0006029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24ED"/>
    <w:rsid w:val="00086415"/>
    <w:rsid w:val="000865B1"/>
    <w:rsid w:val="000875E1"/>
    <w:rsid w:val="00091C96"/>
    <w:rsid w:val="0009345C"/>
    <w:rsid w:val="00093691"/>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F2"/>
    <w:rsid w:val="000B5338"/>
    <w:rsid w:val="000B5C31"/>
    <w:rsid w:val="000C0CB1"/>
    <w:rsid w:val="000C2AEF"/>
    <w:rsid w:val="000C425B"/>
    <w:rsid w:val="000C4FC3"/>
    <w:rsid w:val="000C7592"/>
    <w:rsid w:val="000C7B8E"/>
    <w:rsid w:val="000D0543"/>
    <w:rsid w:val="000D0693"/>
    <w:rsid w:val="000D1606"/>
    <w:rsid w:val="000D2756"/>
    <w:rsid w:val="000D362F"/>
    <w:rsid w:val="000D46DF"/>
    <w:rsid w:val="000D579F"/>
    <w:rsid w:val="000D59E7"/>
    <w:rsid w:val="000D5BCF"/>
    <w:rsid w:val="000E11DC"/>
    <w:rsid w:val="000E12A4"/>
    <w:rsid w:val="000E23B6"/>
    <w:rsid w:val="000E2607"/>
    <w:rsid w:val="000E2956"/>
    <w:rsid w:val="000E2A2A"/>
    <w:rsid w:val="000E59FE"/>
    <w:rsid w:val="000E7030"/>
    <w:rsid w:val="000F060C"/>
    <w:rsid w:val="000F2772"/>
    <w:rsid w:val="000F32D4"/>
    <w:rsid w:val="000F3D03"/>
    <w:rsid w:val="000F475D"/>
    <w:rsid w:val="000F5F92"/>
    <w:rsid w:val="000F6E16"/>
    <w:rsid w:val="000F7E70"/>
    <w:rsid w:val="001003BC"/>
    <w:rsid w:val="0010071F"/>
    <w:rsid w:val="001018B0"/>
    <w:rsid w:val="00102BB7"/>
    <w:rsid w:val="00105A05"/>
    <w:rsid w:val="00106865"/>
    <w:rsid w:val="00111B60"/>
    <w:rsid w:val="00112081"/>
    <w:rsid w:val="00112756"/>
    <w:rsid w:val="001132C3"/>
    <w:rsid w:val="00113503"/>
    <w:rsid w:val="00114786"/>
    <w:rsid w:val="00114E12"/>
    <w:rsid w:val="0011549D"/>
    <w:rsid w:val="001155AC"/>
    <w:rsid w:val="00117054"/>
    <w:rsid w:val="001213AB"/>
    <w:rsid w:val="00121E9E"/>
    <w:rsid w:val="00122DFB"/>
    <w:rsid w:val="00122E46"/>
    <w:rsid w:val="00122F00"/>
    <w:rsid w:val="00123F99"/>
    <w:rsid w:val="00127910"/>
    <w:rsid w:val="001279D7"/>
    <w:rsid w:val="00133592"/>
    <w:rsid w:val="001350FB"/>
    <w:rsid w:val="001379F7"/>
    <w:rsid w:val="001403C2"/>
    <w:rsid w:val="00140481"/>
    <w:rsid w:val="0014048A"/>
    <w:rsid w:val="0014335B"/>
    <w:rsid w:val="001449C9"/>
    <w:rsid w:val="00144AF1"/>
    <w:rsid w:val="0014568C"/>
    <w:rsid w:val="00145983"/>
    <w:rsid w:val="001459F6"/>
    <w:rsid w:val="00146524"/>
    <w:rsid w:val="001512A5"/>
    <w:rsid w:val="001512EA"/>
    <w:rsid w:val="00151A1D"/>
    <w:rsid w:val="001530BE"/>
    <w:rsid w:val="00153694"/>
    <w:rsid w:val="00154325"/>
    <w:rsid w:val="00154829"/>
    <w:rsid w:val="00154E5E"/>
    <w:rsid w:val="001578B4"/>
    <w:rsid w:val="0016154E"/>
    <w:rsid w:val="001642C0"/>
    <w:rsid w:val="00164407"/>
    <w:rsid w:val="0016631D"/>
    <w:rsid w:val="00166DB7"/>
    <w:rsid w:val="00167450"/>
    <w:rsid w:val="00171713"/>
    <w:rsid w:val="001718AA"/>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4B7D"/>
    <w:rsid w:val="001850F5"/>
    <w:rsid w:val="001852D9"/>
    <w:rsid w:val="00186B18"/>
    <w:rsid w:val="00187641"/>
    <w:rsid w:val="00190271"/>
    <w:rsid w:val="00194191"/>
    <w:rsid w:val="00194800"/>
    <w:rsid w:val="00194D38"/>
    <w:rsid w:val="00194D93"/>
    <w:rsid w:val="00194FD3"/>
    <w:rsid w:val="001952B1"/>
    <w:rsid w:val="00195ECC"/>
    <w:rsid w:val="00197979"/>
    <w:rsid w:val="001A08B0"/>
    <w:rsid w:val="001A4AF8"/>
    <w:rsid w:val="001A5251"/>
    <w:rsid w:val="001A57F8"/>
    <w:rsid w:val="001A5F6B"/>
    <w:rsid w:val="001A6816"/>
    <w:rsid w:val="001B155D"/>
    <w:rsid w:val="001B1A1A"/>
    <w:rsid w:val="001B241F"/>
    <w:rsid w:val="001B2E38"/>
    <w:rsid w:val="001B44B7"/>
    <w:rsid w:val="001B4620"/>
    <w:rsid w:val="001B4F35"/>
    <w:rsid w:val="001B6B46"/>
    <w:rsid w:val="001B768F"/>
    <w:rsid w:val="001B7E46"/>
    <w:rsid w:val="001C0F0F"/>
    <w:rsid w:val="001C2229"/>
    <w:rsid w:val="001C238F"/>
    <w:rsid w:val="001C2817"/>
    <w:rsid w:val="001C2E5B"/>
    <w:rsid w:val="001C6555"/>
    <w:rsid w:val="001D031A"/>
    <w:rsid w:val="001D22C7"/>
    <w:rsid w:val="001D2C42"/>
    <w:rsid w:val="001D311B"/>
    <w:rsid w:val="001D3C35"/>
    <w:rsid w:val="001D45F5"/>
    <w:rsid w:val="001D4A00"/>
    <w:rsid w:val="001D5261"/>
    <w:rsid w:val="001D5F2F"/>
    <w:rsid w:val="001D6BF0"/>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0511"/>
    <w:rsid w:val="001F1FF3"/>
    <w:rsid w:val="001F22FD"/>
    <w:rsid w:val="001F27D0"/>
    <w:rsid w:val="001F3585"/>
    <w:rsid w:val="001F36C9"/>
    <w:rsid w:val="001F3C32"/>
    <w:rsid w:val="001F4AC3"/>
    <w:rsid w:val="001F5C74"/>
    <w:rsid w:val="001F6A62"/>
    <w:rsid w:val="001F7985"/>
    <w:rsid w:val="001F7B37"/>
    <w:rsid w:val="00201CB5"/>
    <w:rsid w:val="00202598"/>
    <w:rsid w:val="00202F90"/>
    <w:rsid w:val="00203109"/>
    <w:rsid w:val="0020323B"/>
    <w:rsid w:val="00203FF4"/>
    <w:rsid w:val="00206730"/>
    <w:rsid w:val="002070ED"/>
    <w:rsid w:val="002074D2"/>
    <w:rsid w:val="00207662"/>
    <w:rsid w:val="00207EF6"/>
    <w:rsid w:val="002100C9"/>
    <w:rsid w:val="002119C2"/>
    <w:rsid w:val="002142EB"/>
    <w:rsid w:val="0021476D"/>
    <w:rsid w:val="002147F2"/>
    <w:rsid w:val="00215EA8"/>
    <w:rsid w:val="00216ABA"/>
    <w:rsid w:val="002206B3"/>
    <w:rsid w:val="00221B7A"/>
    <w:rsid w:val="002226BB"/>
    <w:rsid w:val="00222D2F"/>
    <w:rsid w:val="00225BAB"/>
    <w:rsid w:val="002274C0"/>
    <w:rsid w:val="00231A61"/>
    <w:rsid w:val="00231EE6"/>
    <w:rsid w:val="00232241"/>
    <w:rsid w:val="0023308F"/>
    <w:rsid w:val="0023537F"/>
    <w:rsid w:val="002360DA"/>
    <w:rsid w:val="002361C0"/>
    <w:rsid w:val="00236A14"/>
    <w:rsid w:val="00237A05"/>
    <w:rsid w:val="00242881"/>
    <w:rsid w:val="00243327"/>
    <w:rsid w:val="002437E9"/>
    <w:rsid w:val="00243A63"/>
    <w:rsid w:val="002443C3"/>
    <w:rsid w:val="002471CF"/>
    <w:rsid w:val="002473B8"/>
    <w:rsid w:val="0024764C"/>
    <w:rsid w:val="00250C69"/>
    <w:rsid w:val="0025147D"/>
    <w:rsid w:val="00251D80"/>
    <w:rsid w:val="002524AF"/>
    <w:rsid w:val="00252B9E"/>
    <w:rsid w:val="002539EF"/>
    <w:rsid w:val="0025400A"/>
    <w:rsid w:val="00255130"/>
    <w:rsid w:val="002556F9"/>
    <w:rsid w:val="00255D57"/>
    <w:rsid w:val="00260384"/>
    <w:rsid w:val="002624D6"/>
    <w:rsid w:val="00262A2F"/>
    <w:rsid w:val="00262B1E"/>
    <w:rsid w:val="00262B44"/>
    <w:rsid w:val="0026374C"/>
    <w:rsid w:val="002640D8"/>
    <w:rsid w:val="002642A4"/>
    <w:rsid w:val="00265A15"/>
    <w:rsid w:val="0026705B"/>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2463"/>
    <w:rsid w:val="002932B6"/>
    <w:rsid w:val="00294415"/>
    <w:rsid w:val="002948A6"/>
    <w:rsid w:val="002951B1"/>
    <w:rsid w:val="00296C0B"/>
    <w:rsid w:val="00296DF3"/>
    <w:rsid w:val="002A18D6"/>
    <w:rsid w:val="002A1DEC"/>
    <w:rsid w:val="002A29A6"/>
    <w:rsid w:val="002A4749"/>
    <w:rsid w:val="002B171F"/>
    <w:rsid w:val="002B26D6"/>
    <w:rsid w:val="002B3ED8"/>
    <w:rsid w:val="002B402A"/>
    <w:rsid w:val="002B4F4E"/>
    <w:rsid w:val="002B520C"/>
    <w:rsid w:val="002B6427"/>
    <w:rsid w:val="002B7A39"/>
    <w:rsid w:val="002C03BD"/>
    <w:rsid w:val="002C1C5F"/>
    <w:rsid w:val="002C2761"/>
    <w:rsid w:val="002C45DB"/>
    <w:rsid w:val="002C568F"/>
    <w:rsid w:val="002C60F4"/>
    <w:rsid w:val="002C656A"/>
    <w:rsid w:val="002C6D03"/>
    <w:rsid w:val="002C786F"/>
    <w:rsid w:val="002D180A"/>
    <w:rsid w:val="002D3DA0"/>
    <w:rsid w:val="002D428F"/>
    <w:rsid w:val="002D5DD4"/>
    <w:rsid w:val="002D665F"/>
    <w:rsid w:val="002E02C5"/>
    <w:rsid w:val="002E04D2"/>
    <w:rsid w:val="002E0AF3"/>
    <w:rsid w:val="002E1F96"/>
    <w:rsid w:val="002E2507"/>
    <w:rsid w:val="002E4145"/>
    <w:rsid w:val="002F1033"/>
    <w:rsid w:val="002F2D96"/>
    <w:rsid w:val="002F42C3"/>
    <w:rsid w:val="002F46FC"/>
    <w:rsid w:val="002F4D66"/>
    <w:rsid w:val="002F65E3"/>
    <w:rsid w:val="00301DAC"/>
    <w:rsid w:val="003037D9"/>
    <w:rsid w:val="00304848"/>
    <w:rsid w:val="00304939"/>
    <w:rsid w:val="00304D18"/>
    <w:rsid w:val="00310CFD"/>
    <w:rsid w:val="00310F91"/>
    <w:rsid w:val="0031124F"/>
    <w:rsid w:val="00312441"/>
    <w:rsid w:val="00316A34"/>
    <w:rsid w:val="00320A58"/>
    <w:rsid w:val="00321C03"/>
    <w:rsid w:val="00322780"/>
    <w:rsid w:val="00323223"/>
    <w:rsid w:val="003238D1"/>
    <w:rsid w:val="00326663"/>
    <w:rsid w:val="003306C0"/>
    <w:rsid w:val="00330F5D"/>
    <w:rsid w:val="003324DB"/>
    <w:rsid w:val="00332682"/>
    <w:rsid w:val="003337EF"/>
    <w:rsid w:val="00333CD6"/>
    <w:rsid w:val="00335FC6"/>
    <w:rsid w:val="003360CC"/>
    <w:rsid w:val="00336399"/>
    <w:rsid w:val="00337F92"/>
    <w:rsid w:val="0034188D"/>
    <w:rsid w:val="0034219E"/>
    <w:rsid w:val="00343345"/>
    <w:rsid w:val="003443B0"/>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36C8"/>
    <w:rsid w:val="00364481"/>
    <w:rsid w:val="0036478E"/>
    <w:rsid w:val="0036506B"/>
    <w:rsid w:val="003653FA"/>
    <w:rsid w:val="00366207"/>
    <w:rsid w:val="003700EB"/>
    <w:rsid w:val="00372123"/>
    <w:rsid w:val="003725D1"/>
    <w:rsid w:val="00372A92"/>
    <w:rsid w:val="003733F1"/>
    <w:rsid w:val="0037385F"/>
    <w:rsid w:val="00374546"/>
    <w:rsid w:val="00375153"/>
    <w:rsid w:val="00376B82"/>
    <w:rsid w:val="003778B8"/>
    <w:rsid w:val="00380A17"/>
    <w:rsid w:val="003837C8"/>
    <w:rsid w:val="00383CDF"/>
    <w:rsid w:val="00385A0E"/>
    <w:rsid w:val="00385EAF"/>
    <w:rsid w:val="003868D8"/>
    <w:rsid w:val="0038766F"/>
    <w:rsid w:val="003905A1"/>
    <w:rsid w:val="00390AE0"/>
    <w:rsid w:val="003931B9"/>
    <w:rsid w:val="0039337A"/>
    <w:rsid w:val="003936AC"/>
    <w:rsid w:val="00393E7A"/>
    <w:rsid w:val="00393E8D"/>
    <w:rsid w:val="0039675C"/>
    <w:rsid w:val="003A0AF8"/>
    <w:rsid w:val="003A0E4C"/>
    <w:rsid w:val="003A217C"/>
    <w:rsid w:val="003A275F"/>
    <w:rsid w:val="003A2EBD"/>
    <w:rsid w:val="003A3EA5"/>
    <w:rsid w:val="003A3EAA"/>
    <w:rsid w:val="003A4BA6"/>
    <w:rsid w:val="003A5147"/>
    <w:rsid w:val="003A658C"/>
    <w:rsid w:val="003A7B8B"/>
    <w:rsid w:val="003B0328"/>
    <w:rsid w:val="003B1C80"/>
    <w:rsid w:val="003B1F5E"/>
    <w:rsid w:val="003B2010"/>
    <w:rsid w:val="003B29DC"/>
    <w:rsid w:val="003B3907"/>
    <w:rsid w:val="003B43F3"/>
    <w:rsid w:val="003B5FD2"/>
    <w:rsid w:val="003B7650"/>
    <w:rsid w:val="003C080C"/>
    <w:rsid w:val="003C1DDB"/>
    <w:rsid w:val="003C2511"/>
    <w:rsid w:val="003C3BF4"/>
    <w:rsid w:val="003C4EFB"/>
    <w:rsid w:val="003C5F4E"/>
    <w:rsid w:val="003C6352"/>
    <w:rsid w:val="003D1D0C"/>
    <w:rsid w:val="003D2EB6"/>
    <w:rsid w:val="003D5866"/>
    <w:rsid w:val="003D643B"/>
    <w:rsid w:val="003E09D2"/>
    <w:rsid w:val="003E157B"/>
    <w:rsid w:val="003E3EC5"/>
    <w:rsid w:val="003E3F85"/>
    <w:rsid w:val="003E5B71"/>
    <w:rsid w:val="003E5C01"/>
    <w:rsid w:val="003E5C87"/>
    <w:rsid w:val="003E5FA6"/>
    <w:rsid w:val="003E64E0"/>
    <w:rsid w:val="003E74BC"/>
    <w:rsid w:val="003E7EA7"/>
    <w:rsid w:val="003F02E5"/>
    <w:rsid w:val="003F02F9"/>
    <w:rsid w:val="003F1FC4"/>
    <w:rsid w:val="003F3442"/>
    <w:rsid w:val="003F474E"/>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78C"/>
    <w:rsid w:val="00414BA2"/>
    <w:rsid w:val="00420088"/>
    <w:rsid w:val="004202B2"/>
    <w:rsid w:val="00422729"/>
    <w:rsid w:val="00423598"/>
    <w:rsid w:val="00424135"/>
    <w:rsid w:val="0042549A"/>
    <w:rsid w:val="00427A31"/>
    <w:rsid w:val="0043016C"/>
    <w:rsid w:val="00430B65"/>
    <w:rsid w:val="00430BBE"/>
    <w:rsid w:val="00430D9E"/>
    <w:rsid w:val="00432033"/>
    <w:rsid w:val="00433154"/>
    <w:rsid w:val="0043400E"/>
    <w:rsid w:val="00434BB6"/>
    <w:rsid w:val="0043575D"/>
    <w:rsid w:val="00440550"/>
    <w:rsid w:val="0044072F"/>
    <w:rsid w:val="00440903"/>
    <w:rsid w:val="00440E88"/>
    <w:rsid w:val="00442172"/>
    <w:rsid w:val="0044246C"/>
    <w:rsid w:val="00443568"/>
    <w:rsid w:val="00445981"/>
    <w:rsid w:val="00445EAD"/>
    <w:rsid w:val="0044617E"/>
    <w:rsid w:val="00446CA0"/>
    <w:rsid w:val="004523CF"/>
    <w:rsid w:val="00452920"/>
    <w:rsid w:val="004534C4"/>
    <w:rsid w:val="00453993"/>
    <w:rsid w:val="00455594"/>
    <w:rsid w:val="00455BF4"/>
    <w:rsid w:val="0045684F"/>
    <w:rsid w:val="00456871"/>
    <w:rsid w:val="004604CE"/>
    <w:rsid w:val="00461097"/>
    <w:rsid w:val="00462146"/>
    <w:rsid w:val="00466DCF"/>
    <w:rsid w:val="00466E32"/>
    <w:rsid w:val="004714D9"/>
    <w:rsid w:val="00472580"/>
    <w:rsid w:val="00472DFF"/>
    <w:rsid w:val="00473041"/>
    <w:rsid w:val="00474109"/>
    <w:rsid w:val="0047658A"/>
    <w:rsid w:val="00476D2E"/>
    <w:rsid w:val="00481297"/>
    <w:rsid w:val="004812CA"/>
    <w:rsid w:val="00482953"/>
    <w:rsid w:val="00483B5E"/>
    <w:rsid w:val="004865D9"/>
    <w:rsid w:val="00487573"/>
    <w:rsid w:val="00487961"/>
    <w:rsid w:val="0049115E"/>
    <w:rsid w:val="004915E6"/>
    <w:rsid w:val="00491629"/>
    <w:rsid w:val="00491B79"/>
    <w:rsid w:val="004938F7"/>
    <w:rsid w:val="00494E3A"/>
    <w:rsid w:val="00495CD7"/>
    <w:rsid w:val="004961CD"/>
    <w:rsid w:val="004963EA"/>
    <w:rsid w:val="00496C54"/>
    <w:rsid w:val="00497092"/>
    <w:rsid w:val="00497C0C"/>
    <w:rsid w:val="004A010F"/>
    <w:rsid w:val="004A04CF"/>
    <w:rsid w:val="004A2766"/>
    <w:rsid w:val="004A3362"/>
    <w:rsid w:val="004A4616"/>
    <w:rsid w:val="004A4D35"/>
    <w:rsid w:val="004A4D91"/>
    <w:rsid w:val="004A5616"/>
    <w:rsid w:val="004B095F"/>
    <w:rsid w:val="004B31EA"/>
    <w:rsid w:val="004B394B"/>
    <w:rsid w:val="004B426D"/>
    <w:rsid w:val="004B5AE8"/>
    <w:rsid w:val="004B5E0A"/>
    <w:rsid w:val="004B627D"/>
    <w:rsid w:val="004B698B"/>
    <w:rsid w:val="004B7427"/>
    <w:rsid w:val="004B7B66"/>
    <w:rsid w:val="004B7C87"/>
    <w:rsid w:val="004B7D5D"/>
    <w:rsid w:val="004C0211"/>
    <w:rsid w:val="004C104C"/>
    <w:rsid w:val="004C4D38"/>
    <w:rsid w:val="004C541B"/>
    <w:rsid w:val="004C5ECD"/>
    <w:rsid w:val="004C5F53"/>
    <w:rsid w:val="004C6E8C"/>
    <w:rsid w:val="004C7167"/>
    <w:rsid w:val="004C78D2"/>
    <w:rsid w:val="004D1952"/>
    <w:rsid w:val="004D1B23"/>
    <w:rsid w:val="004D2F71"/>
    <w:rsid w:val="004D480E"/>
    <w:rsid w:val="004D4C22"/>
    <w:rsid w:val="004D4DDE"/>
    <w:rsid w:val="004D5E8A"/>
    <w:rsid w:val="004D61B9"/>
    <w:rsid w:val="004D6808"/>
    <w:rsid w:val="004E1F8C"/>
    <w:rsid w:val="004E415C"/>
    <w:rsid w:val="004E440D"/>
    <w:rsid w:val="004E4605"/>
    <w:rsid w:val="004E4FBD"/>
    <w:rsid w:val="004E6657"/>
    <w:rsid w:val="004E7BB8"/>
    <w:rsid w:val="004F0CAB"/>
    <w:rsid w:val="004F1628"/>
    <w:rsid w:val="004F23AE"/>
    <w:rsid w:val="004F45E5"/>
    <w:rsid w:val="004F71FD"/>
    <w:rsid w:val="004F77C7"/>
    <w:rsid w:val="004F7983"/>
    <w:rsid w:val="005006CB"/>
    <w:rsid w:val="005009F9"/>
    <w:rsid w:val="00503BB3"/>
    <w:rsid w:val="00503E49"/>
    <w:rsid w:val="005048AE"/>
    <w:rsid w:val="0050515E"/>
    <w:rsid w:val="00505C47"/>
    <w:rsid w:val="005077B1"/>
    <w:rsid w:val="005125E2"/>
    <w:rsid w:val="00512BF7"/>
    <w:rsid w:val="005133A1"/>
    <w:rsid w:val="00514229"/>
    <w:rsid w:val="00514F78"/>
    <w:rsid w:val="00515DDA"/>
    <w:rsid w:val="00516234"/>
    <w:rsid w:val="005168E7"/>
    <w:rsid w:val="00516F75"/>
    <w:rsid w:val="0052139E"/>
    <w:rsid w:val="00522823"/>
    <w:rsid w:val="00523386"/>
    <w:rsid w:val="005233A9"/>
    <w:rsid w:val="00523C89"/>
    <w:rsid w:val="0052416C"/>
    <w:rsid w:val="0052426A"/>
    <w:rsid w:val="005244D2"/>
    <w:rsid w:val="005257F4"/>
    <w:rsid w:val="00526D48"/>
    <w:rsid w:val="005320BE"/>
    <w:rsid w:val="005332B2"/>
    <w:rsid w:val="00535B71"/>
    <w:rsid w:val="00535F04"/>
    <w:rsid w:val="00536F69"/>
    <w:rsid w:val="005376DF"/>
    <w:rsid w:val="00537784"/>
    <w:rsid w:val="005400F7"/>
    <w:rsid w:val="0054256C"/>
    <w:rsid w:val="0054280D"/>
    <w:rsid w:val="005445C1"/>
    <w:rsid w:val="00544669"/>
    <w:rsid w:val="00544E5A"/>
    <w:rsid w:val="00545A64"/>
    <w:rsid w:val="00546DB5"/>
    <w:rsid w:val="00551A17"/>
    <w:rsid w:val="00552913"/>
    <w:rsid w:val="00552948"/>
    <w:rsid w:val="00552E02"/>
    <w:rsid w:val="00553535"/>
    <w:rsid w:val="005547B8"/>
    <w:rsid w:val="005551E0"/>
    <w:rsid w:val="00555891"/>
    <w:rsid w:val="0055732C"/>
    <w:rsid w:val="00557F1B"/>
    <w:rsid w:val="00560510"/>
    <w:rsid w:val="00562343"/>
    <w:rsid w:val="0056270F"/>
    <w:rsid w:val="005627CC"/>
    <w:rsid w:val="00562AE1"/>
    <w:rsid w:val="00562FDF"/>
    <w:rsid w:val="0056401D"/>
    <w:rsid w:val="00564D34"/>
    <w:rsid w:val="00564F1B"/>
    <w:rsid w:val="00565DC7"/>
    <w:rsid w:val="00566413"/>
    <w:rsid w:val="0056658D"/>
    <w:rsid w:val="005668EE"/>
    <w:rsid w:val="00566ACD"/>
    <w:rsid w:val="005701D6"/>
    <w:rsid w:val="00570CB4"/>
    <w:rsid w:val="00572199"/>
    <w:rsid w:val="0057242B"/>
    <w:rsid w:val="0057242F"/>
    <w:rsid w:val="005724AA"/>
    <w:rsid w:val="005728B8"/>
    <w:rsid w:val="0057329D"/>
    <w:rsid w:val="00574094"/>
    <w:rsid w:val="00574389"/>
    <w:rsid w:val="0057625F"/>
    <w:rsid w:val="00576B13"/>
    <w:rsid w:val="00577877"/>
    <w:rsid w:val="005802A4"/>
    <w:rsid w:val="00581378"/>
    <w:rsid w:val="0058249E"/>
    <w:rsid w:val="00582890"/>
    <w:rsid w:val="0058307C"/>
    <w:rsid w:val="005836D4"/>
    <w:rsid w:val="00584113"/>
    <w:rsid w:val="00586F00"/>
    <w:rsid w:val="00590DAC"/>
    <w:rsid w:val="0059175C"/>
    <w:rsid w:val="005917EC"/>
    <w:rsid w:val="00594E1E"/>
    <w:rsid w:val="0059532D"/>
    <w:rsid w:val="00595E25"/>
    <w:rsid w:val="00596E66"/>
    <w:rsid w:val="005A068B"/>
    <w:rsid w:val="005A1063"/>
    <w:rsid w:val="005A1E72"/>
    <w:rsid w:val="005A21F6"/>
    <w:rsid w:val="005A2D17"/>
    <w:rsid w:val="005A3CF1"/>
    <w:rsid w:val="005A4111"/>
    <w:rsid w:val="005A6546"/>
    <w:rsid w:val="005A6E82"/>
    <w:rsid w:val="005B14C8"/>
    <w:rsid w:val="005B1EB1"/>
    <w:rsid w:val="005B5EAD"/>
    <w:rsid w:val="005B741B"/>
    <w:rsid w:val="005B77B6"/>
    <w:rsid w:val="005C110C"/>
    <w:rsid w:val="005C1D18"/>
    <w:rsid w:val="005C2555"/>
    <w:rsid w:val="005C2F3E"/>
    <w:rsid w:val="005C3CD5"/>
    <w:rsid w:val="005C437F"/>
    <w:rsid w:val="005C4D36"/>
    <w:rsid w:val="005C51CD"/>
    <w:rsid w:val="005C65AF"/>
    <w:rsid w:val="005C699D"/>
    <w:rsid w:val="005C728F"/>
    <w:rsid w:val="005C78E7"/>
    <w:rsid w:val="005D10AB"/>
    <w:rsid w:val="005D12FB"/>
    <w:rsid w:val="005D2F19"/>
    <w:rsid w:val="005D3ED0"/>
    <w:rsid w:val="005D40AD"/>
    <w:rsid w:val="005D42FD"/>
    <w:rsid w:val="005D5F1A"/>
    <w:rsid w:val="005E10A2"/>
    <w:rsid w:val="005E2CD4"/>
    <w:rsid w:val="005E361B"/>
    <w:rsid w:val="005E37C5"/>
    <w:rsid w:val="005E3995"/>
    <w:rsid w:val="005E403F"/>
    <w:rsid w:val="005E4930"/>
    <w:rsid w:val="005E6E2D"/>
    <w:rsid w:val="005E7C8F"/>
    <w:rsid w:val="005F0A19"/>
    <w:rsid w:val="005F4187"/>
    <w:rsid w:val="005F67F5"/>
    <w:rsid w:val="005F686D"/>
    <w:rsid w:val="005F689D"/>
    <w:rsid w:val="005F6DB3"/>
    <w:rsid w:val="005F742B"/>
    <w:rsid w:val="00600E12"/>
    <w:rsid w:val="00601697"/>
    <w:rsid w:val="00603A86"/>
    <w:rsid w:val="00603C7F"/>
    <w:rsid w:val="00603D49"/>
    <w:rsid w:val="00605915"/>
    <w:rsid w:val="00606C3D"/>
    <w:rsid w:val="006111E0"/>
    <w:rsid w:val="006118DC"/>
    <w:rsid w:val="00612698"/>
    <w:rsid w:val="00612EEF"/>
    <w:rsid w:val="00616A11"/>
    <w:rsid w:val="00617352"/>
    <w:rsid w:val="006203E2"/>
    <w:rsid w:val="006205AF"/>
    <w:rsid w:val="00621EDB"/>
    <w:rsid w:val="00622236"/>
    <w:rsid w:val="0062454F"/>
    <w:rsid w:val="00626D88"/>
    <w:rsid w:val="00627BF9"/>
    <w:rsid w:val="00627C8E"/>
    <w:rsid w:val="0063039E"/>
    <w:rsid w:val="00630C09"/>
    <w:rsid w:val="00630CAA"/>
    <w:rsid w:val="006341FF"/>
    <w:rsid w:val="00635324"/>
    <w:rsid w:val="006366D0"/>
    <w:rsid w:val="00640576"/>
    <w:rsid w:val="006420FB"/>
    <w:rsid w:val="00643780"/>
    <w:rsid w:val="00643C1A"/>
    <w:rsid w:val="00643FA0"/>
    <w:rsid w:val="00645CFD"/>
    <w:rsid w:val="00645FDE"/>
    <w:rsid w:val="00646CA4"/>
    <w:rsid w:val="00647569"/>
    <w:rsid w:val="006475BB"/>
    <w:rsid w:val="0064761A"/>
    <w:rsid w:val="0064783E"/>
    <w:rsid w:val="00647FB1"/>
    <w:rsid w:val="00653ED0"/>
    <w:rsid w:val="00654840"/>
    <w:rsid w:val="0065509D"/>
    <w:rsid w:val="006552EA"/>
    <w:rsid w:val="00657648"/>
    <w:rsid w:val="00657746"/>
    <w:rsid w:val="00660FE2"/>
    <w:rsid w:val="006617F4"/>
    <w:rsid w:val="00661955"/>
    <w:rsid w:val="0066519E"/>
    <w:rsid w:val="00666D9E"/>
    <w:rsid w:val="00667EF4"/>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2FCF"/>
    <w:rsid w:val="00683067"/>
    <w:rsid w:val="00683122"/>
    <w:rsid w:val="006832A5"/>
    <w:rsid w:val="006840D8"/>
    <w:rsid w:val="00684DAD"/>
    <w:rsid w:val="00684F40"/>
    <w:rsid w:val="0068501A"/>
    <w:rsid w:val="00685FBC"/>
    <w:rsid w:val="00687ACD"/>
    <w:rsid w:val="00690929"/>
    <w:rsid w:val="00690F62"/>
    <w:rsid w:val="006918C3"/>
    <w:rsid w:val="0069335D"/>
    <w:rsid w:val="006946F9"/>
    <w:rsid w:val="006958C0"/>
    <w:rsid w:val="00697A75"/>
    <w:rsid w:val="006A09FC"/>
    <w:rsid w:val="006A1710"/>
    <w:rsid w:val="006A23DF"/>
    <w:rsid w:val="006A2CDF"/>
    <w:rsid w:val="006A6C95"/>
    <w:rsid w:val="006A7C1B"/>
    <w:rsid w:val="006B052B"/>
    <w:rsid w:val="006B1047"/>
    <w:rsid w:val="006B153E"/>
    <w:rsid w:val="006B3F3C"/>
    <w:rsid w:val="006B42EF"/>
    <w:rsid w:val="006B49BF"/>
    <w:rsid w:val="006B4A0D"/>
    <w:rsid w:val="006B4D3F"/>
    <w:rsid w:val="006B5D21"/>
    <w:rsid w:val="006B61A2"/>
    <w:rsid w:val="006B7095"/>
    <w:rsid w:val="006B7576"/>
    <w:rsid w:val="006C155F"/>
    <w:rsid w:val="006C2C85"/>
    <w:rsid w:val="006C32B0"/>
    <w:rsid w:val="006C43C7"/>
    <w:rsid w:val="006C49D4"/>
    <w:rsid w:val="006C632F"/>
    <w:rsid w:val="006C6331"/>
    <w:rsid w:val="006D07AF"/>
    <w:rsid w:val="006D10DA"/>
    <w:rsid w:val="006D151D"/>
    <w:rsid w:val="006D1CD0"/>
    <w:rsid w:val="006D223B"/>
    <w:rsid w:val="006D27C6"/>
    <w:rsid w:val="006D36DF"/>
    <w:rsid w:val="006D3708"/>
    <w:rsid w:val="006D4B5A"/>
    <w:rsid w:val="006D56A5"/>
    <w:rsid w:val="006D592F"/>
    <w:rsid w:val="006D7BF7"/>
    <w:rsid w:val="006D7EF2"/>
    <w:rsid w:val="006E04B1"/>
    <w:rsid w:val="006E0599"/>
    <w:rsid w:val="006E0A93"/>
    <w:rsid w:val="006E22BD"/>
    <w:rsid w:val="006E22C0"/>
    <w:rsid w:val="006E2940"/>
    <w:rsid w:val="006E2B68"/>
    <w:rsid w:val="006E39D3"/>
    <w:rsid w:val="006E61AD"/>
    <w:rsid w:val="006E6458"/>
    <w:rsid w:val="006E6658"/>
    <w:rsid w:val="006E6FD9"/>
    <w:rsid w:val="006F08BF"/>
    <w:rsid w:val="006F185F"/>
    <w:rsid w:val="006F30EE"/>
    <w:rsid w:val="006F3248"/>
    <w:rsid w:val="006F3551"/>
    <w:rsid w:val="006F35D0"/>
    <w:rsid w:val="006F38CB"/>
    <w:rsid w:val="006F4F29"/>
    <w:rsid w:val="006F5AEE"/>
    <w:rsid w:val="0070043B"/>
    <w:rsid w:val="00701BF3"/>
    <w:rsid w:val="00701F40"/>
    <w:rsid w:val="00703CEB"/>
    <w:rsid w:val="007047D9"/>
    <w:rsid w:val="007113B1"/>
    <w:rsid w:val="00711C23"/>
    <w:rsid w:val="00711F6E"/>
    <w:rsid w:val="00712081"/>
    <w:rsid w:val="00712F51"/>
    <w:rsid w:val="00713389"/>
    <w:rsid w:val="00713D84"/>
    <w:rsid w:val="00716384"/>
    <w:rsid w:val="00717451"/>
    <w:rsid w:val="00717EFD"/>
    <w:rsid w:val="00722152"/>
    <w:rsid w:val="007226EA"/>
    <w:rsid w:val="00723410"/>
    <w:rsid w:val="00723DC0"/>
    <w:rsid w:val="0072411F"/>
    <w:rsid w:val="00724AC2"/>
    <w:rsid w:val="00724F0F"/>
    <w:rsid w:val="007262D2"/>
    <w:rsid w:val="0072672C"/>
    <w:rsid w:val="007268E7"/>
    <w:rsid w:val="00726F52"/>
    <w:rsid w:val="007270F4"/>
    <w:rsid w:val="00730823"/>
    <w:rsid w:val="007339BC"/>
    <w:rsid w:val="00734B20"/>
    <w:rsid w:val="00735744"/>
    <w:rsid w:val="00740999"/>
    <w:rsid w:val="0074176D"/>
    <w:rsid w:val="00741861"/>
    <w:rsid w:val="0074205E"/>
    <w:rsid w:val="007421B8"/>
    <w:rsid w:val="007424FB"/>
    <w:rsid w:val="00743572"/>
    <w:rsid w:val="00743F72"/>
    <w:rsid w:val="00745771"/>
    <w:rsid w:val="00746EB6"/>
    <w:rsid w:val="00747445"/>
    <w:rsid w:val="00750193"/>
    <w:rsid w:val="00751C23"/>
    <w:rsid w:val="0075283E"/>
    <w:rsid w:val="00752CBA"/>
    <w:rsid w:val="00752CDF"/>
    <w:rsid w:val="0075317B"/>
    <w:rsid w:val="00754113"/>
    <w:rsid w:val="007551D8"/>
    <w:rsid w:val="00755247"/>
    <w:rsid w:val="00755773"/>
    <w:rsid w:val="0076188F"/>
    <w:rsid w:val="00761AE8"/>
    <w:rsid w:val="007625E5"/>
    <w:rsid w:val="007645ED"/>
    <w:rsid w:val="00764A51"/>
    <w:rsid w:val="00764AE3"/>
    <w:rsid w:val="00764FB4"/>
    <w:rsid w:val="0076572E"/>
    <w:rsid w:val="00767CBA"/>
    <w:rsid w:val="0077155C"/>
    <w:rsid w:val="00771802"/>
    <w:rsid w:val="007719C7"/>
    <w:rsid w:val="00772576"/>
    <w:rsid w:val="00772A3C"/>
    <w:rsid w:val="00773988"/>
    <w:rsid w:val="00775F66"/>
    <w:rsid w:val="007766DD"/>
    <w:rsid w:val="00780319"/>
    <w:rsid w:val="007805BB"/>
    <w:rsid w:val="007805FB"/>
    <w:rsid w:val="00781C73"/>
    <w:rsid w:val="007831C3"/>
    <w:rsid w:val="00783B48"/>
    <w:rsid w:val="00784973"/>
    <w:rsid w:val="00784C56"/>
    <w:rsid w:val="00784E54"/>
    <w:rsid w:val="00785097"/>
    <w:rsid w:val="007872DC"/>
    <w:rsid w:val="00787BE3"/>
    <w:rsid w:val="0079425A"/>
    <w:rsid w:val="00795BB4"/>
    <w:rsid w:val="00797093"/>
    <w:rsid w:val="007A0675"/>
    <w:rsid w:val="007A4CC9"/>
    <w:rsid w:val="007A510C"/>
    <w:rsid w:val="007A59FF"/>
    <w:rsid w:val="007A5EE7"/>
    <w:rsid w:val="007A6514"/>
    <w:rsid w:val="007A6603"/>
    <w:rsid w:val="007A6CD4"/>
    <w:rsid w:val="007A6FCD"/>
    <w:rsid w:val="007A78E3"/>
    <w:rsid w:val="007B03A4"/>
    <w:rsid w:val="007B07AB"/>
    <w:rsid w:val="007B087A"/>
    <w:rsid w:val="007B15C2"/>
    <w:rsid w:val="007B1A13"/>
    <w:rsid w:val="007B3542"/>
    <w:rsid w:val="007C02C1"/>
    <w:rsid w:val="007C1589"/>
    <w:rsid w:val="007C2F12"/>
    <w:rsid w:val="007C303C"/>
    <w:rsid w:val="007C36B5"/>
    <w:rsid w:val="007C49D1"/>
    <w:rsid w:val="007C52E4"/>
    <w:rsid w:val="007C59FC"/>
    <w:rsid w:val="007C6567"/>
    <w:rsid w:val="007C65E0"/>
    <w:rsid w:val="007C66B5"/>
    <w:rsid w:val="007D0DD0"/>
    <w:rsid w:val="007D0F2F"/>
    <w:rsid w:val="007D1776"/>
    <w:rsid w:val="007D53A3"/>
    <w:rsid w:val="007D6EE1"/>
    <w:rsid w:val="007E1ECA"/>
    <w:rsid w:val="007E2E9C"/>
    <w:rsid w:val="007E4773"/>
    <w:rsid w:val="007E6371"/>
    <w:rsid w:val="007E697E"/>
    <w:rsid w:val="007F093F"/>
    <w:rsid w:val="007F1452"/>
    <w:rsid w:val="007F14FA"/>
    <w:rsid w:val="007F1851"/>
    <w:rsid w:val="007F1CA4"/>
    <w:rsid w:val="007F3041"/>
    <w:rsid w:val="007F4C0F"/>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430"/>
    <w:rsid w:val="00816608"/>
    <w:rsid w:val="00816B4C"/>
    <w:rsid w:val="00816D2E"/>
    <w:rsid w:val="00820066"/>
    <w:rsid w:val="00820338"/>
    <w:rsid w:val="008213A5"/>
    <w:rsid w:val="00821457"/>
    <w:rsid w:val="00822A1E"/>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739"/>
    <w:rsid w:val="008479EE"/>
    <w:rsid w:val="00850866"/>
    <w:rsid w:val="00851DA7"/>
    <w:rsid w:val="0085299E"/>
    <w:rsid w:val="00853802"/>
    <w:rsid w:val="00853B40"/>
    <w:rsid w:val="00856F93"/>
    <w:rsid w:val="008612C4"/>
    <w:rsid w:val="0086268D"/>
    <w:rsid w:val="0086321C"/>
    <w:rsid w:val="008637CF"/>
    <w:rsid w:val="00865396"/>
    <w:rsid w:val="00865513"/>
    <w:rsid w:val="008655B9"/>
    <w:rsid w:val="008658D2"/>
    <w:rsid w:val="008675D4"/>
    <w:rsid w:val="00871BC2"/>
    <w:rsid w:val="0087266C"/>
    <w:rsid w:val="008726F1"/>
    <w:rsid w:val="00872B8A"/>
    <w:rsid w:val="00872E4B"/>
    <w:rsid w:val="00873573"/>
    <w:rsid w:val="00874A40"/>
    <w:rsid w:val="008750DC"/>
    <w:rsid w:val="0087511F"/>
    <w:rsid w:val="00876521"/>
    <w:rsid w:val="008766C9"/>
    <w:rsid w:val="0088164D"/>
    <w:rsid w:val="00882D6D"/>
    <w:rsid w:val="00884825"/>
    <w:rsid w:val="00884D10"/>
    <w:rsid w:val="0088517F"/>
    <w:rsid w:val="008856A3"/>
    <w:rsid w:val="00885816"/>
    <w:rsid w:val="008863FA"/>
    <w:rsid w:val="00886BEF"/>
    <w:rsid w:val="00887FE3"/>
    <w:rsid w:val="008917D7"/>
    <w:rsid w:val="0089240E"/>
    <w:rsid w:val="00893462"/>
    <w:rsid w:val="0089406E"/>
    <w:rsid w:val="008940D8"/>
    <w:rsid w:val="00894572"/>
    <w:rsid w:val="008951D3"/>
    <w:rsid w:val="008953F1"/>
    <w:rsid w:val="00896D39"/>
    <w:rsid w:val="0089736A"/>
    <w:rsid w:val="00897887"/>
    <w:rsid w:val="008978E2"/>
    <w:rsid w:val="00897911"/>
    <w:rsid w:val="008A0B27"/>
    <w:rsid w:val="008A1049"/>
    <w:rsid w:val="008A32D9"/>
    <w:rsid w:val="008A35F7"/>
    <w:rsid w:val="008A3876"/>
    <w:rsid w:val="008A590C"/>
    <w:rsid w:val="008A5D2D"/>
    <w:rsid w:val="008A6E2F"/>
    <w:rsid w:val="008B099A"/>
    <w:rsid w:val="008B2B37"/>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7A4"/>
    <w:rsid w:val="008D5CBD"/>
    <w:rsid w:val="008D6EF2"/>
    <w:rsid w:val="008E057A"/>
    <w:rsid w:val="008E1A88"/>
    <w:rsid w:val="008E1D90"/>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27AC"/>
    <w:rsid w:val="009036E8"/>
    <w:rsid w:val="009045A8"/>
    <w:rsid w:val="00910794"/>
    <w:rsid w:val="009111BF"/>
    <w:rsid w:val="00911C44"/>
    <w:rsid w:val="00911EF6"/>
    <w:rsid w:val="00911F3F"/>
    <w:rsid w:val="009167AD"/>
    <w:rsid w:val="00925DBA"/>
    <w:rsid w:val="0092675C"/>
    <w:rsid w:val="00926E66"/>
    <w:rsid w:val="00927872"/>
    <w:rsid w:val="0092797B"/>
    <w:rsid w:val="00927F0F"/>
    <w:rsid w:val="00930157"/>
    <w:rsid w:val="0093089D"/>
    <w:rsid w:val="009315B8"/>
    <w:rsid w:val="009326F1"/>
    <w:rsid w:val="00933211"/>
    <w:rsid w:val="0093340F"/>
    <w:rsid w:val="00933D35"/>
    <w:rsid w:val="00934452"/>
    <w:rsid w:val="00934F9E"/>
    <w:rsid w:val="00936003"/>
    <w:rsid w:val="00937165"/>
    <w:rsid w:val="009376FB"/>
    <w:rsid w:val="00937791"/>
    <w:rsid w:val="00937A68"/>
    <w:rsid w:val="009403CA"/>
    <w:rsid w:val="00940B1C"/>
    <w:rsid w:val="00942BD5"/>
    <w:rsid w:val="00944C36"/>
    <w:rsid w:val="0094588D"/>
    <w:rsid w:val="00945B09"/>
    <w:rsid w:val="00946E87"/>
    <w:rsid w:val="00947DDF"/>
    <w:rsid w:val="00950781"/>
    <w:rsid w:val="00950A0D"/>
    <w:rsid w:val="00950CAB"/>
    <w:rsid w:val="00952086"/>
    <w:rsid w:val="009521D3"/>
    <w:rsid w:val="00954561"/>
    <w:rsid w:val="00954A3E"/>
    <w:rsid w:val="00955BFD"/>
    <w:rsid w:val="0095721D"/>
    <w:rsid w:val="009572D9"/>
    <w:rsid w:val="00957EA5"/>
    <w:rsid w:val="0096550A"/>
    <w:rsid w:val="00965DFE"/>
    <w:rsid w:val="0096600E"/>
    <w:rsid w:val="009663D0"/>
    <w:rsid w:val="00970864"/>
    <w:rsid w:val="0097140F"/>
    <w:rsid w:val="0097345F"/>
    <w:rsid w:val="0097400B"/>
    <w:rsid w:val="009749BD"/>
    <w:rsid w:val="00975A52"/>
    <w:rsid w:val="00976363"/>
    <w:rsid w:val="009774EC"/>
    <w:rsid w:val="00977B5A"/>
    <w:rsid w:val="00980D8C"/>
    <w:rsid w:val="00981667"/>
    <w:rsid w:val="00984E41"/>
    <w:rsid w:val="009863F7"/>
    <w:rsid w:val="00987028"/>
    <w:rsid w:val="0098749A"/>
    <w:rsid w:val="00987A6E"/>
    <w:rsid w:val="00990B80"/>
    <w:rsid w:val="0099174E"/>
    <w:rsid w:val="009917D2"/>
    <w:rsid w:val="00991C5A"/>
    <w:rsid w:val="00991DCC"/>
    <w:rsid w:val="009923E7"/>
    <w:rsid w:val="009927FB"/>
    <w:rsid w:val="00993514"/>
    <w:rsid w:val="00994207"/>
    <w:rsid w:val="00994262"/>
    <w:rsid w:val="0099493F"/>
    <w:rsid w:val="00994974"/>
    <w:rsid w:val="00996D34"/>
    <w:rsid w:val="00997CBB"/>
    <w:rsid w:val="00997D32"/>
    <w:rsid w:val="009A0604"/>
    <w:rsid w:val="009A2285"/>
    <w:rsid w:val="009A26A1"/>
    <w:rsid w:val="009A2EAB"/>
    <w:rsid w:val="009A561D"/>
    <w:rsid w:val="009A63E1"/>
    <w:rsid w:val="009A66F2"/>
    <w:rsid w:val="009A6E2B"/>
    <w:rsid w:val="009B0218"/>
    <w:rsid w:val="009B043A"/>
    <w:rsid w:val="009B13C1"/>
    <w:rsid w:val="009B1F66"/>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0842"/>
    <w:rsid w:val="009D274B"/>
    <w:rsid w:val="009D27AD"/>
    <w:rsid w:val="009D5130"/>
    <w:rsid w:val="009D581F"/>
    <w:rsid w:val="009D5C9F"/>
    <w:rsid w:val="009D707F"/>
    <w:rsid w:val="009D7762"/>
    <w:rsid w:val="009D7E10"/>
    <w:rsid w:val="009E0847"/>
    <w:rsid w:val="009E1487"/>
    <w:rsid w:val="009E17E8"/>
    <w:rsid w:val="009E1B43"/>
    <w:rsid w:val="009E1CA5"/>
    <w:rsid w:val="009E56EB"/>
    <w:rsid w:val="009E5B51"/>
    <w:rsid w:val="009E6063"/>
    <w:rsid w:val="009E60B0"/>
    <w:rsid w:val="009E7731"/>
    <w:rsid w:val="009E7E60"/>
    <w:rsid w:val="009F0DB6"/>
    <w:rsid w:val="009F155A"/>
    <w:rsid w:val="009F1E51"/>
    <w:rsid w:val="009F36E2"/>
    <w:rsid w:val="009F3F3C"/>
    <w:rsid w:val="009F3F4C"/>
    <w:rsid w:val="009F48AE"/>
    <w:rsid w:val="009F4F4D"/>
    <w:rsid w:val="009F6CF5"/>
    <w:rsid w:val="009F7E59"/>
    <w:rsid w:val="00A005D1"/>
    <w:rsid w:val="00A0063E"/>
    <w:rsid w:val="00A02386"/>
    <w:rsid w:val="00A032BD"/>
    <w:rsid w:val="00A03CB0"/>
    <w:rsid w:val="00A05B20"/>
    <w:rsid w:val="00A05DAD"/>
    <w:rsid w:val="00A06923"/>
    <w:rsid w:val="00A06EF8"/>
    <w:rsid w:val="00A07242"/>
    <w:rsid w:val="00A0727A"/>
    <w:rsid w:val="00A07367"/>
    <w:rsid w:val="00A07DDA"/>
    <w:rsid w:val="00A11F3A"/>
    <w:rsid w:val="00A12C99"/>
    <w:rsid w:val="00A13072"/>
    <w:rsid w:val="00A13628"/>
    <w:rsid w:val="00A152E2"/>
    <w:rsid w:val="00A16F56"/>
    <w:rsid w:val="00A20416"/>
    <w:rsid w:val="00A220BC"/>
    <w:rsid w:val="00A221B9"/>
    <w:rsid w:val="00A23A87"/>
    <w:rsid w:val="00A23AA8"/>
    <w:rsid w:val="00A24033"/>
    <w:rsid w:val="00A24507"/>
    <w:rsid w:val="00A25273"/>
    <w:rsid w:val="00A25496"/>
    <w:rsid w:val="00A30113"/>
    <w:rsid w:val="00A30137"/>
    <w:rsid w:val="00A30F7A"/>
    <w:rsid w:val="00A32181"/>
    <w:rsid w:val="00A3383E"/>
    <w:rsid w:val="00A35273"/>
    <w:rsid w:val="00A37832"/>
    <w:rsid w:val="00A40F98"/>
    <w:rsid w:val="00A42AEA"/>
    <w:rsid w:val="00A437DF"/>
    <w:rsid w:val="00A43AA7"/>
    <w:rsid w:val="00A445B9"/>
    <w:rsid w:val="00A44619"/>
    <w:rsid w:val="00A44907"/>
    <w:rsid w:val="00A449FE"/>
    <w:rsid w:val="00A465CD"/>
    <w:rsid w:val="00A477BD"/>
    <w:rsid w:val="00A47B30"/>
    <w:rsid w:val="00A51E90"/>
    <w:rsid w:val="00A533F3"/>
    <w:rsid w:val="00A5380D"/>
    <w:rsid w:val="00A5402E"/>
    <w:rsid w:val="00A549B8"/>
    <w:rsid w:val="00A60C35"/>
    <w:rsid w:val="00A6154B"/>
    <w:rsid w:val="00A61E60"/>
    <w:rsid w:val="00A62C6D"/>
    <w:rsid w:val="00A63E76"/>
    <w:rsid w:val="00A64166"/>
    <w:rsid w:val="00A6599A"/>
    <w:rsid w:val="00A66705"/>
    <w:rsid w:val="00A66891"/>
    <w:rsid w:val="00A67319"/>
    <w:rsid w:val="00A673B2"/>
    <w:rsid w:val="00A67D9F"/>
    <w:rsid w:val="00A70D0F"/>
    <w:rsid w:val="00A737B0"/>
    <w:rsid w:val="00A73A2A"/>
    <w:rsid w:val="00A73D67"/>
    <w:rsid w:val="00A8238B"/>
    <w:rsid w:val="00A82736"/>
    <w:rsid w:val="00A835D5"/>
    <w:rsid w:val="00A83A00"/>
    <w:rsid w:val="00A85275"/>
    <w:rsid w:val="00A866A1"/>
    <w:rsid w:val="00A87786"/>
    <w:rsid w:val="00A914FB"/>
    <w:rsid w:val="00A926CD"/>
    <w:rsid w:val="00A93A3D"/>
    <w:rsid w:val="00A93C43"/>
    <w:rsid w:val="00A94D41"/>
    <w:rsid w:val="00A954D0"/>
    <w:rsid w:val="00A9660D"/>
    <w:rsid w:val="00A96EE5"/>
    <w:rsid w:val="00AA1371"/>
    <w:rsid w:val="00AA14F4"/>
    <w:rsid w:val="00AA42FB"/>
    <w:rsid w:val="00AA5BE1"/>
    <w:rsid w:val="00AA6131"/>
    <w:rsid w:val="00AA7381"/>
    <w:rsid w:val="00AA73CF"/>
    <w:rsid w:val="00AA784D"/>
    <w:rsid w:val="00AA7E95"/>
    <w:rsid w:val="00AB1AA6"/>
    <w:rsid w:val="00AB4F6D"/>
    <w:rsid w:val="00AB5DEF"/>
    <w:rsid w:val="00AB6E92"/>
    <w:rsid w:val="00AC127D"/>
    <w:rsid w:val="00AC4292"/>
    <w:rsid w:val="00AC568E"/>
    <w:rsid w:val="00AC5768"/>
    <w:rsid w:val="00AC5877"/>
    <w:rsid w:val="00AC6076"/>
    <w:rsid w:val="00AC67A3"/>
    <w:rsid w:val="00AC73BB"/>
    <w:rsid w:val="00AC7711"/>
    <w:rsid w:val="00AC7792"/>
    <w:rsid w:val="00AC77BA"/>
    <w:rsid w:val="00AD0BB3"/>
    <w:rsid w:val="00AD13A7"/>
    <w:rsid w:val="00AD1DC1"/>
    <w:rsid w:val="00AD2553"/>
    <w:rsid w:val="00AD31FE"/>
    <w:rsid w:val="00AD4851"/>
    <w:rsid w:val="00AD5565"/>
    <w:rsid w:val="00AD5EFF"/>
    <w:rsid w:val="00AD5FE6"/>
    <w:rsid w:val="00AD68EF"/>
    <w:rsid w:val="00AD6A33"/>
    <w:rsid w:val="00AD6D81"/>
    <w:rsid w:val="00AD7E04"/>
    <w:rsid w:val="00AD7F08"/>
    <w:rsid w:val="00AE399C"/>
    <w:rsid w:val="00AE4660"/>
    <w:rsid w:val="00AE51FC"/>
    <w:rsid w:val="00AE5762"/>
    <w:rsid w:val="00AE69E9"/>
    <w:rsid w:val="00AF00F9"/>
    <w:rsid w:val="00AF1CC4"/>
    <w:rsid w:val="00AF1E02"/>
    <w:rsid w:val="00AF3CA1"/>
    <w:rsid w:val="00AF457A"/>
    <w:rsid w:val="00AF482D"/>
    <w:rsid w:val="00AF51AB"/>
    <w:rsid w:val="00AF6CCA"/>
    <w:rsid w:val="00AF73E9"/>
    <w:rsid w:val="00B00421"/>
    <w:rsid w:val="00B012D0"/>
    <w:rsid w:val="00B0157E"/>
    <w:rsid w:val="00B015CC"/>
    <w:rsid w:val="00B017D2"/>
    <w:rsid w:val="00B02218"/>
    <w:rsid w:val="00B06DCA"/>
    <w:rsid w:val="00B07154"/>
    <w:rsid w:val="00B07C8E"/>
    <w:rsid w:val="00B07D4E"/>
    <w:rsid w:val="00B125A8"/>
    <w:rsid w:val="00B1632C"/>
    <w:rsid w:val="00B16CED"/>
    <w:rsid w:val="00B16DA7"/>
    <w:rsid w:val="00B2007F"/>
    <w:rsid w:val="00B21A61"/>
    <w:rsid w:val="00B224F0"/>
    <w:rsid w:val="00B23AE9"/>
    <w:rsid w:val="00B23ED2"/>
    <w:rsid w:val="00B241DA"/>
    <w:rsid w:val="00B25262"/>
    <w:rsid w:val="00B255E5"/>
    <w:rsid w:val="00B25A3B"/>
    <w:rsid w:val="00B25D94"/>
    <w:rsid w:val="00B267B0"/>
    <w:rsid w:val="00B30D31"/>
    <w:rsid w:val="00B30E62"/>
    <w:rsid w:val="00B333DA"/>
    <w:rsid w:val="00B33743"/>
    <w:rsid w:val="00B3649B"/>
    <w:rsid w:val="00B36877"/>
    <w:rsid w:val="00B36DFC"/>
    <w:rsid w:val="00B41BE6"/>
    <w:rsid w:val="00B42968"/>
    <w:rsid w:val="00B42A58"/>
    <w:rsid w:val="00B43D05"/>
    <w:rsid w:val="00B44FCE"/>
    <w:rsid w:val="00B45F68"/>
    <w:rsid w:val="00B462E9"/>
    <w:rsid w:val="00B50188"/>
    <w:rsid w:val="00B50600"/>
    <w:rsid w:val="00B50D17"/>
    <w:rsid w:val="00B51D8A"/>
    <w:rsid w:val="00B53FEB"/>
    <w:rsid w:val="00B56986"/>
    <w:rsid w:val="00B56BF9"/>
    <w:rsid w:val="00B60262"/>
    <w:rsid w:val="00B61B91"/>
    <w:rsid w:val="00B62920"/>
    <w:rsid w:val="00B62C56"/>
    <w:rsid w:val="00B63490"/>
    <w:rsid w:val="00B645A8"/>
    <w:rsid w:val="00B66B4E"/>
    <w:rsid w:val="00B66BBF"/>
    <w:rsid w:val="00B6742D"/>
    <w:rsid w:val="00B724DF"/>
    <w:rsid w:val="00B726FC"/>
    <w:rsid w:val="00B7270F"/>
    <w:rsid w:val="00B745FD"/>
    <w:rsid w:val="00B75D83"/>
    <w:rsid w:val="00B76005"/>
    <w:rsid w:val="00B77C47"/>
    <w:rsid w:val="00B77C87"/>
    <w:rsid w:val="00B804B9"/>
    <w:rsid w:val="00B807FD"/>
    <w:rsid w:val="00B80FC3"/>
    <w:rsid w:val="00B815D4"/>
    <w:rsid w:val="00B8203E"/>
    <w:rsid w:val="00B8221A"/>
    <w:rsid w:val="00B822F8"/>
    <w:rsid w:val="00B83278"/>
    <w:rsid w:val="00B83B58"/>
    <w:rsid w:val="00B843EE"/>
    <w:rsid w:val="00B85CE4"/>
    <w:rsid w:val="00B86977"/>
    <w:rsid w:val="00B86E45"/>
    <w:rsid w:val="00B87538"/>
    <w:rsid w:val="00B90839"/>
    <w:rsid w:val="00B92495"/>
    <w:rsid w:val="00B92A6E"/>
    <w:rsid w:val="00B930D1"/>
    <w:rsid w:val="00B960EA"/>
    <w:rsid w:val="00B97ACD"/>
    <w:rsid w:val="00B97C80"/>
    <w:rsid w:val="00BA0F5B"/>
    <w:rsid w:val="00BA1556"/>
    <w:rsid w:val="00BA1DDB"/>
    <w:rsid w:val="00BA2D7C"/>
    <w:rsid w:val="00BA549E"/>
    <w:rsid w:val="00BA69B4"/>
    <w:rsid w:val="00BB0B51"/>
    <w:rsid w:val="00BB1081"/>
    <w:rsid w:val="00BB18A5"/>
    <w:rsid w:val="00BB1D68"/>
    <w:rsid w:val="00BB5328"/>
    <w:rsid w:val="00BB555C"/>
    <w:rsid w:val="00BB6721"/>
    <w:rsid w:val="00BB6D67"/>
    <w:rsid w:val="00BC0C1F"/>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16B6"/>
    <w:rsid w:val="00BF230C"/>
    <w:rsid w:val="00BF317F"/>
    <w:rsid w:val="00BF422D"/>
    <w:rsid w:val="00BF42E7"/>
    <w:rsid w:val="00BF4A66"/>
    <w:rsid w:val="00BF509D"/>
    <w:rsid w:val="00BF6AB6"/>
    <w:rsid w:val="00BF7255"/>
    <w:rsid w:val="00C0000E"/>
    <w:rsid w:val="00C00A3A"/>
    <w:rsid w:val="00C023C6"/>
    <w:rsid w:val="00C02A87"/>
    <w:rsid w:val="00C02D0C"/>
    <w:rsid w:val="00C03569"/>
    <w:rsid w:val="00C055F9"/>
    <w:rsid w:val="00C05A94"/>
    <w:rsid w:val="00C0731E"/>
    <w:rsid w:val="00C10688"/>
    <w:rsid w:val="00C127DC"/>
    <w:rsid w:val="00C13219"/>
    <w:rsid w:val="00C1350C"/>
    <w:rsid w:val="00C13A74"/>
    <w:rsid w:val="00C13FB0"/>
    <w:rsid w:val="00C201C7"/>
    <w:rsid w:val="00C20453"/>
    <w:rsid w:val="00C221F8"/>
    <w:rsid w:val="00C2264B"/>
    <w:rsid w:val="00C2375C"/>
    <w:rsid w:val="00C24203"/>
    <w:rsid w:val="00C2428D"/>
    <w:rsid w:val="00C26546"/>
    <w:rsid w:val="00C31A87"/>
    <w:rsid w:val="00C31F1F"/>
    <w:rsid w:val="00C320AE"/>
    <w:rsid w:val="00C329A3"/>
    <w:rsid w:val="00C36885"/>
    <w:rsid w:val="00C376EA"/>
    <w:rsid w:val="00C37A66"/>
    <w:rsid w:val="00C402D0"/>
    <w:rsid w:val="00C41622"/>
    <w:rsid w:val="00C42975"/>
    <w:rsid w:val="00C4361F"/>
    <w:rsid w:val="00C44BD1"/>
    <w:rsid w:val="00C45577"/>
    <w:rsid w:val="00C45A68"/>
    <w:rsid w:val="00C4646C"/>
    <w:rsid w:val="00C46754"/>
    <w:rsid w:val="00C46FD8"/>
    <w:rsid w:val="00C4755E"/>
    <w:rsid w:val="00C47853"/>
    <w:rsid w:val="00C50C41"/>
    <w:rsid w:val="00C50E53"/>
    <w:rsid w:val="00C526FF"/>
    <w:rsid w:val="00C5651A"/>
    <w:rsid w:val="00C60A2C"/>
    <w:rsid w:val="00C60F5E"/>
    <w:rsid w:val="00C625EA"/>
    <w:rsid w:val="00C64319"/>
    <w:rsid w:val="00C70AD7"/>
    <w:rsid w:val="00C728F0"/>
    <w:rsid w:val="00C73131"/>
    <w:rsid w:val="00C734AD"/>
    <w:rsid w:val="00C73A81"/>
    <w:rsid w:val="00C74A8E"/>
    <w:rsid w:val="00C75650"/>
    <w:rsid w:val="00C75A82"/>
    <w:rsid w:val="00C75B26"/>
    <w:rsid w:val="00C75E5A"/>
    <w:rsid w:val="00C76DE5"/>
    <w:rsid w:val="00C76FCF"/>
    <w:rsid w:val="00C809E9"/>
    <w:rsid w:val="00C81706"/>
    <w:rsid w:val="00C81EF3"/>
    <w:rsid w:val="00C84599"/>
    <w:rsid w:val="00C84D23"/>
    <w:rsid w:val="00C857D3"/>
    <w:rsid w:val="00C86523"/>
    <w:rsid w:val="00C90500"/>
    <w:rsid w:val="00C905F1"/>
    <w:rsid w:val="00C90FAD"/>
    <w:rsid w:val="00C91261"/>
    <w:rsid w:val="00C916D9"/>
    <w:rsid w:val="00C921ED"/>
    <w:rsid w:val="00C9258D"/>
    <w:rsid w:val="00C945B3"/>
    <w:rsid w:val="00C9551F"/>
    <w:rsid w:val="00C955A0"/>
    <w:rsid w:val="00C961DD"/>
    <w:rsid w:val="00C96E3C"/>
    <w:rsid w:val="00C97652"/>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45"/>
    <w:rsid w:val="00CB6545"/>
    <w:rsid w:val="00CB74B6"/>
    <w:rsid w:val="00CC12E4"/>
    <w:rsid w:val="00CC223C"/>
    <w:rsid w:val="00CC2755"/>
    <w:rsid w:val="00CC51DA"/>
    <w:rsid w:val="00CC5693"/>
    <w:rsid w:val="00CC6B19"/>
    <w:rsid w:val="00CC6E62"/>
    <w:rsid w:val="00CC7126"/>
    <w:rsid w:val="00CC7B53"/>
    <w:rsid w:val="00CD2DB5"/>
    <w:rsid w:val="00CD39BE"/>
    <w:rsid w:val="00CD3EBE"/>
    <w:rsid w:val="00CD4208"/>
    <w:rsid w:val="00CD43B3"/>
    <w:rsid w:val="00CD4993"/>
    <w:rsid w:val="00CD67CF"/>
    <w:rsid w:val="00CD6D04"/>
    <w:rsid w:val="00CD6EFB"/>
    <w:rsid w:val="00CD7BC0"/>
    <w:rsid w:val="00CE030B"/>
    <w:rsid w:val="00CE1148"/>
    <w:rsid w:val="00CE17B7"/>
    <w:rsid w:val="00CE1874"/>
    <w:rsid w:val="00CE1F33"/>
    <w:rsid w:val="00CE355C"/>
    <w:rsid w:val="00CE4137"/>
    <w:rsid w:val="00CE437F"/>
    <w:rsid w:val="00CE4484"/>
    <w:rsid w:val="00CE5788"/>
    <w:rsid w:val="00CE7998"/>
    <w:rsid w:val="00CF3155"/>
    <w:rsid w:val="00CF3C1B"/>
    <w:rsid w:val="00CF45E9"/>
    <w:rsid w:val="00CF4DD4"/>
    <w:rsid w:val="00CF563C"/>
    <w:rsid w:val="00CF7241"/>
    <w:rsid w:val="00D01AD3"/>
    <w:rsid w:val="00D0220B"/>
    <w:rsid w:val="00D03F27"/>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351CA"/>
    <w:rsid w:val="00D35F2E"/>
    <w:rsid w:val="00D4242C"/>
    <w:rsid w:val="00D42A9B"/>
    <w:rsid w:val="00D44039"/>
    <w:rsid w:val="00D44690"/>
    <w:rsid w:val="00D447D2"/>
    <w:rsid w:val="00D4567F"/>
    <w:rsid w:val="00D47CF9"/>
    <w:rsid w:val="00D47E53"/>
    <w:rsid w:val="00D5239B"/>
    <w:rsid w:val="00D5312D"/>
    <w:rsid w:val="00D533EA"/>
    <w:rsid w:val="00D54098"/>
    <w:rsid w:val="00D55BA3"/>
    <w:rsid w:val="00D5673C"/>
    <w:rsid w:val="00D57D31"/>
    <w:rsid w:val="00D608AD"/>
    <w:rsid w:val="00D62158"/>
    <w:rsid w:val="00D62874"/>
    <w:rsid w:val="00D640F7"/>
    <w:rsid w:val="00D64ACA"/>
    <w:rsid w:val="00D64F99"/>
    <w:rsid w:val="00D65E11"/>
    <w:rsid w:val="00D679B8"/>
    <w:rsid w:val="00D701E0"/>
    <w:rsid w:val="00D70475"/>
    <w:rsid w:val="00D705B2"/>
    <w:rsid w:val="00D70702"/>
    <w:rsid w:val="00D7091A"/>
    <w:rsid w:val="00D72022"/>
    <w:rsid w:val="00D72C1A"/>
    <w:rsid w:val="00D7394E"/>
    <w:rsid w:val="00D73B1D"/>
    <w:rsid w:val="00D740E5"/>
    <w:rsid w:val="00D7550E"/>
    <w:rsid w:val="00D75560"/>
    <w:rsid w:val="00D76B47"/>
    <w:rsid w:val="00D76CDF"/>
    <w:rsid w:val="00D80D13"/>
    <w:rsid w:val="00D81EA2"/>
    <w:rsid w:val="00D8354F"/>
    <w:rsid w:val="00D84021"/>
    <w:rsid w:val="00D848CA"/>
    <w:rsid w:val="00D84C1C"/>
    <w:rsid w:val="00D8534B"/>
    <w:rsid w:val="00D85B39"/>
    <w:rsid w:val="00D876B6"/>
    <w:rsid w:val="00D87DE2"/>
    <w:rsid w:val="00D90EE2"/>
    <w:rsid w:val="00D92178"/>
    <w:rsid w:val="00D9429B"/>
    <w:rsid w:val="00D972B7"/>
    <w:rsid w:val="00DA0E37"/>
    <w:rsid w:val="00DA1C65"/>
    <w:rsid w:val="00DA24E1"/>
    <w:rsid w:val="00DA276E"/>
    <w:rsid w:val="00DA40CA"/>
    <w:rsid w:val="00DA4E09"/>
    <w:rsid w:val="00DA6731"/>
    <w:rsid w:val="00DA69C3"/>
    <w:rsid w:val="00DA770F"/>
    <w:rsid w:val="00DB0F35"/>
    <w:rsid w:val="00DB3628"/>
    <w:rsid w:val="00DB4BC9"/>
    <w:rsid w:val="00DB53A9"/>
    <w:rsid w:val="00DB77A0"/>
    <w:rsid w:val="00DB7B75"/>
    <w:rsid w:val="00DC1100"/>
    <w:rsid w:val="00DC138E"/>
    <w:rsid w:val="00DC2A41"/>
    <w:rsid w:val="00DC430A"/>
    <w:rsid w:val="00DC694D"/>
    <w:rsid w:val="00DD03C6"/>
    <w:rsid w:val="00DD09F1"/>
    <w:rsid w:val="00DD0CA4"/>
    <w:rsid w:val="00DD1AE5"/>
    <w:rsid w:val="00DD20FA"/>
    <w:rsid w:val="00DD2E5D"/>
    <w:rsid w:val="00DD33CB"/>
    <w:rsid w:val="00DD544E"/>
    <w:rsid w:val="00DD5FEF"/>
    <w:rsid w:val="00DD6C82"/>
    <w:rsid w:val="00DD7F16"/>
    <w:rsid w:val="00DE0BE0"/>
    <w:rsid w:val="00DE140C"/>
    <w:rsid w:val="00DE1F5D"/>
    <w:rsid w:val="00DE2A4C"/>
    <w:rsid w:val="00DE3AA6"/>
    <w:rsid w:val="00DE5F7E"/>
    <w:rsid w:val="00DE67C5"/>
    <w:rsid w:val="00DE6C97"/>
    <w:rsid w:val="00DE6CE0"/>
    <w:rsid w:val="00DE6EDF"/>
    <w:rsid w:val="00DE7D84"/>
    <w:rsid w:val="00DF191D"/>
    <w:rsid w:val="00DF1F88"/>
    <w:rsid w:val="00DF223F"/>
    <w:rsid w:val="00DF23A8"/>
    <w:rsid w:val="00DF2EAB"/>
    <w:rsid w:val="00DF44E4"/>
    <w:rsid w:val="00DF69BC"/>
    <w:rsid w:val="00DF6BC4"/>
    <w:rsid w:val="00DF762D"/>
    <w:rsid w:val="00DF76A9"/>
    <w:rsid w:val="00E000BF"/>
    <w:rsid w:val="00E0342B"/>
    <w:rsid w:val="00E03D6F"/>
    <w:rsid w:val="00E047AB"/>
    <w:rsid w:val="00E05670"/>
    <w:rsid w:val="00E05D76"/>
    <w:rsid w:val="00E070CD"/>
    <w:rsid w:val="00E0761C"/>
    <w:rsid w:val="00E07C8C"/>
    <w:rsid w:val="00E10646"/>
    <w:rsid w:val="00E10B06"/>
    <w:rsid w:val="00E114D9"/>
    <w:rsid w:val="00E121A7"/>
    <w:rsid w:val="00E1298F"/>
    <w:rsid w:val="00E13348"/>
    <w:rsid w:val="00E13615"/>
    <w:rsid w:val="00E13886"/>
    <w:rsid w:val="00E1480A"/>
    <w:rsid w:val="00E15DA1"/>
    <w:rsid w:val="00E16A1B"/>
    <w:rsid w:val="00E16F1D"/>
    <w:rsid w:val="00E17B97"/>
    <w:rsid w:val="00E200BD"/>
    <w:rsid w:val="00E20835"/>
    <w:rsid w:val="00E20A18"/>
    <w:rsid w:val="00E21130"/>
    <w:rsid w:val="00E21271"/>
    <w:rsid w:val="00E2283E"/>
    <w:rsid w:val="00E23235"/>
    <w:rsid w:val="00E23A1F"/>
    <w:rsid w:val="00E2443D"/>
    <w:rsid w:val="00E248D0"/>
    <w:rsid w:val="00E25041"/>
    <w:rsid w:val="00E2553E"/>
    <w:rsid w:val="00E26D58"/>
    <w:rsid w:val="00E27762"/>
    <w:rsid w:val="00E27F0F"/>
    <w:rsid w:val="00E30116"/>
    <w:rsid w:val="00E30E64"/>
    <w:rsid w:val="00E31976"/>
    <w:rsid w:val="00E327E1"/>
    <w:rsid w:val="00E35231"/>
    <w:rsid w:val="00E35F59"/>
    <w:rsid w:val="00E36FD3"/>
    <w:rsid w:val="00E37EC5"/>
    <w:rsid w:val="00E41A62"/>
    <w:rsid w:val="00E42231"/>
    <w:rsid w:val="00E4342A"/>
    <w:rsid w:val="00E44394"/>
    <w:rsid w:val="00E44ABC"/>
    <w:rsid w:val="00E4729C"/>
    <w:rsid w:val="00E500EB"/>
    <w:rsid w:val="00E505FB"/>
    <w:rsid w:val="00E50857"/>
    <w:rsid w:val="00E511D6"/>
    <w:rsid w:val="00E5137D"/>
    <w:rsid w:val="00E521EC"/>
    <w:rsid w:val="00E527E9"/>
    <w:rsid w:val="00E53F71"/>
    <w:rsid w:val="00E541F9"/>
    <w:rsid w:val="00E54208"/>
    <w:rsid w:val="00E54F77"/>
    <w:rsid w:val="00E60683"/>
    <w:rsid w:val="00E60A24"/>
    <w:rsid w:val="00E60FA8"/>
    <w:rsid w:val="00E62E0E"/>
    <w:rsid w:val="00E646A4"/>
    <w:rsid w:val="00E646BB"/>
    <w:rsid w:val="00E64D10"/>
    <w:rsid w:val="00E66946"/>
    <w:rsid w:val="00E66D93"/>
    <w:rsid w:val="00E6706B"/>
    <w:rsid w:val="00E678F6"/>
    <w:rsid w:val="00E67FC2"/>
    <w:rsid w:val="00E7030E"/>
    <w:rsid w:val="00E72180"/>
    <w:rsid w:val="00E73687"/>
    <w:rsid w:val="00E74C85"/>
    <w:rsid w:val="00E75490"/>
    <w:rsid w:val="00E7633D"/>
    <w:rsid w:val="00E764CC"/>
    <w:rsid w:val="00E77C72"/>
    <w:rsid w:val="00E81C89"/>
    <w:rsid w:val="00E825C6"/>
    <w:rsid w:val="00E829A4"/>
    <w:rsid w:val="00E84691"/>
    <w:rsid w:val="00E84F72"/>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01AC"/>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30"/>
    <w:rsid w:val="00EC2041"/>
    <w:rsid w:val="00EC286D"/>
    <w:rsid w:val="00EC320F"/>
    <w:rsid w:val="00EC3CA8"/>
    <w:rsid w:val="00EC4826"/>
    <w:rsid w:val="00EC4F48"/>
    <w:rsid w:val="00EC5260"/>
    <w:rsid w:val="00EC5791"/>
    <w:rsid w:val="00EC5FD9"/>
    <w:rsid w:val="00ED0A8D"/>
    <w:rsid w:val="00ED1FA9"/>
    <w:rsid w:val="00ED23F7"/>
    <w:rsid w:val="00ED2934"/>
    <w:rsid w:val="00ED3715"/>
    <w:rsid w:val="00ED668C"/>
    <w:rsid w:val="00ED6913"/>
    <w:rsid w:val="00EE0C2B"/>
    <w:rsid w:val="00EE0C5F"/>
    <w:rsid w:val="00EE12CE"/>
    <w:rsid w:val="00EE3947"/>
    <w:rsid w:val="00EE3E03"/>
    <w:rsid w:val="00EE4D62"/>
    <w:rsid w:val="00EF0D0C"/>
    <w:rsid w:val="00EF14C3"/>
    <w:rsid w:val="00EF36E2"/>
    <w:rsid w:val="00EF36E3"/>
    <w:rsid w:val="00EF62F5"/>
    <w:rsid w:val="00EF702B"/>
    <w:rsid w:val="00EF712C"/>
    <w:rsid w:val="00EF76C3"/>
    <w:rsid w:val="00F00AB2"/>
    <w:rsid w:val="00F00DD5"/>
    <w:rsid w:val="00F01237"/>
    <w:rsid w:val="00F0164D"/>
    <w:rsid w:val="00F025DE"/>
    <w:rsid w:val="00F0265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6550"/>
    <w:rsid w:val="00F16845"/>
    <w:rsid w:val="00F17A33"/>
    <w:rsid w:val="00F20D96"/>
    <w:rsid w:val="00F21A8A"/>
    <w:rsid w:val="00F251DE"/>
    <w:rsid w:val="00F25C7E"/>
    <w:rsid w:val="00F27755"/>
    <w:rsid w:val="00F27A88"/>
    <w:rsid w:val="00F31028"/>
    <w:rsid w:val="00F31F0C"/>
    <w:rsid w:val="00F327C3"/>
    <w:rsid w:val="00F3338E"/>
    <w:rsid w:val="00F3340B"/>
    <w:rsid w:val="00F3341B"/>
    <w:rsid w:val="00F33BCC"/>
    <w:rsid w:val="00F34DC0"/>
    <w:rsid w:val="00F37548"/>
    <w:rsid w:val="00F3779A"/>
    <w:rsid w:val="00F421E6"/>
    <w:rsid w:val="00F4241C"/>
    <w:rsid w:val="00F429E6"/>
    <w:rsid w:val="00F438BF"/>
    <w:rsid w:val="00F5028B"/>
    <w:rsid w:val="00F50673"/>
    <w:rsid w:val="00F51C55"/>
    <w:rsid w:val="00F5204C"/>
    <w:rsid w:val="00F526AF"/>
    <w:rsid w:val="00F52A7B"/>
    <w:rsid w:val="00F52DB4"/>
    <w:rsid w:val="00F618C6"/>
    <w:rsid w:val="00F62819"/>
    <w:rsid w:val="00F64C08"/>
    <w:rsid w:val="00F670D2"/>
    <w:rsid w:val="00F7043A"/>
    <w:rsid w:val="00F713C4"/>
    <w:rsid w:val="00F74173"/>
    <w:rsid w:val="00F758A0"/>
    <w:rsid w:val="00F75A06"/>
    <w:rsid w:val="00F76A72"/>
    <w:rsid w:val="00F77EED"/>
    <w:rsid w:val="00F8023E"/>
    <w:rsid w:val="00F8291D"/>
    <w:rsid w:val="00F829C4"/>
    <w:rsid w:val="00F847B7"/>
    <w:rsid w:val="00F852C2"/>
    <w:rsid w:val="00F855B3"/>
    <w:rsid w:val="00F872AD"/>
    <w:rsid w:val="00F87807"/>
    <w:rsid w:val="00F900AE"/>
    <w:rsid w:val="00F90496"/>
    <w:rsid w:val="00F91764"/>
    <w:rsid w:val="00F9251B"/>
    <w:rsid w:val="00F92825"/>
    <w:rsid w:val="00F934DC"/>
    <w:rsid w:val="00F93A1B"/>
    <w:rsid w:val="00F95D8C"/>
    <w:rsid w:val="00F9628D"/>
    <w:rsid w:val="00F96514"/>
    <w:rsid w:val="00F96C32"/>
    <w:rsid w:val="00FA1A5C"/>
    <w:rsid w:val="00FA24FE"/>
    <w:rsid w:val="00FA2E62"/>
    <w:rsid w:val="00FA313E"/>
    <w:rsid w:val="00FA506B"/>
    <w:rsid w:val="00FA6A25"/>
    <w:rsid w:val="00FA7797"/>
    <w:rsid w:val="00FB03E1"/>
    <w:rsid w:val="00FB3B57"/>
    <w:rsid w:val="00FB44FE"/>
    <w:rsid w:val="00FB4E97"/>
    <w:rsid w:val="00FB587D"/>
    <w:rsid w:val="00FB6326"/>
    <w:rsid w:val="00FB75A8"/>
    <w:rsid w:val="00FC30AF"/>
    <w:rsid w:val="00FC3D4A"/>
    <w:rsid w:val="00FC5C24"/>
    <w:rsid w:val="00FC7143"/>
    <w:rsid w:val="00FC72C1"/>
    <w:rsid w:val="00FC7A63"/>
    <w:rsid w:val="00FC7C8F"/>
    <w:rsid w:val="00FD5088"/>
    <w:rsid w:val="00FD5ED9"/>
    <w:rsid w:val="00FD6069"/>
    <w:rsid w:val="00FD6AE8"/>
    <w:rsid w:val="00FD6F50"/>
    <w:rsid w:val="00FD7D62"/>
    <w:rsid w:val="00FE0FB0"/>
    <w:rsid w:val="00FE13BD"/>
    <w:rsid w:val="00FE3DCB"/>
    <w:rsid w:val="00FE3F6A"/>
    <w:rsid w:val="00FF3527"/>
    <w:rsid w:val="00FF39DE"/>
    <w:rsid w:val="00FF4731"/>
    <w:rsid w:val="00FF5996"/>
    <w:rsid w:val="00FF68B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4BEA92-6625-41C8-B6DC-EFCBC6ED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basedOn w:val="DefaultParagraphFont"/>
    <w:qFormat/>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aliases w:val="5_G Char"/>
    <w:basedOn w:val="DefaultParagraphFont"/>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 w:type="character" w:customStyle="1" w:styleId="s7d2086b4">
    <w:name w:val="s7d2086b4"/>
    <w:basedOn w:val="DefaultParagraphFont"/>
    <w:rsid w:val="0084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521">
      <w:bodyDiv w:val="1"/>
      <w:marLeft w:val="0"/>
      <w:marRight w:val="0"/>
      <w:marTop w:val="0"/>
      <w:marBottom w:val="0"/>
      <w:divBdr>
        <w:top w:val="none" w:sz="0" w:space="0" w:color="auto"/>
        <w:left w:val="none" w:sz="0" w:space="0" w:color="auto"/>
        <w:bottom w:val="none" w:sz="0" w:space="0" w:color="auto"/>
        <w:right w:val="none" w:sz="0" w:space="0" w:color="auto"/>
      </w:divBdr>
    </w:div>
    <w:div w:id="476455100">
      <w:bodyDiv w:val="1"/>
      <w:marLeft w:val="0"/>
      <w:marRight w:val="0"/>
      <w:marTop w:val="0"/>
      <w:marBottom w:val="0"/>
      <w:divBdr>
        <w:top w:val="none" w:sz="0" w:space="0" w:color="auto"/>
        <w:left w:val="none" w:sz="0" w:space="0" w:color="auto"/>
        <w:bottom w:val="none" w:sz="0" w:space="0" w:color="auto"/>
        <w:right w:val="none" w:sz="0" w:space="0" w:color="auto"/>
      </w:divBdr>
    </w:div>
    <w:div w:id="496189487">
      <w:bodyDiv w:val="1"/>
      <w:marLeft w:val="0"/>
      <w:marRight w:val="0"/>
      <w:marTop w:val="0"/>
      <w:marBottom w:val="0"/>
      <w:divBdr>
        <w:top w:val="none" w:sz="0" w:space="0" w:color="auto"/>
        <w:left w:val="none" w:sz="0" w:space="0" w:color="auto"/>
        <w:bottom w:val="none" w:sz="0" w:space="0" w:color="auto"/>
        <w:right w:val="none" w:sz="0" w:space="0" w:color="auto"/>
      </w:divBdr>
    </w:div>
    <w:div w:id="574635021">
      <w:bodyDiv w:val="1"/>
      <w:marLeft w:val="0"/>
      <w:marRight w:val="0"/>
      <w:marTop w:val="0"/>
      <w:marBottom w:val="0"/>
      <w:divBdr>
        <w:top w:val="none" w:sz="0" w:space="0" w:color="auto"/>
        <w:left w:val="none" w:sz="0" w:space="0" w:color="auto"/>
        <w:bottom w:val="none" w:sz="0" w:space="0" w:color="auto"/>
        <w:right w:val="none" w:sz="0" w:space="0" w:color="auto"/>
      </w:divBdr>
    </w:div>
    <w:div w:id="660618751">
      <w:bodyDiv w:val="1"/>
      <w:marLeft w:val="0"/>
      <w:marRight w:val="0"/>
      <w:marTop w:val="0"/>
      <w:marBottom w:val="0"/>
      <w:divBdr>
        <w:top w:val="none" w:sz="0" w:space="0" w:color="auto"/>
        <w:left w:val="none" w:sz="0" w:space="0" w:color="auto"/>
        <w:bottom w:val="none" w:sz="0" w:space="0" w:color="auto"/>
        <w:right w:val="none" w:sz="0" w:space="0" w:color="auto"/>
      </w:divBdr>
    </w:div>
    <w:div w:id="693923015">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8615">
      <w:bodyDiv w:val="1"/>
      <w:marLeft w:val="0"/>
      <w:marRight w:val="0"/>
      <w:marTop w:val="0"/>
      <w:marBottom w:val="0"/>
      <w:divBdr>
        <w:top w:val="none" w:sz="0" w:space="0" w:color="auto"/>
        <w:left w:val="none" w:sz="0" w:space="0" w:color="auto"/>
        <w:bottom w:val="none" w:sz="0" w:space="0" w:color="auto"/>
        <w:right w:val="none" w:sz="0" w:space="0" w:color="auto"/>
      </w:divBdr>
    </w:div>
    <w:div w:id="915407483">
      <w:bodyDiv w:val="1"/>
      <w:marLeft w:val="0"/>
      <w:marRight w:val="0"/>
      <w:marTop w:val="0"/>
      <w:marBottom w:val="0"/>
      <w:divBdr>
        <w:top w:val="none" w:sz="0" w:space="0" w:color="auto"/>
        <w:left w:val="none" w:sz="0" w:space="0" w:color="auto"/>
        <w:bottom w:val="none" w:sz="0" w:space="0" w:color="auto"/>
        <w:right w:val="none" w:sz="0" w:space="0" w:color="auto"/>
      </w:divBdr>
    </w:div>
    <w:div w:id="1117679694">
      <w:bodyDiv w:val="1"/>
      <w:marLeft w:val="0"/>
      <w:marRight w:val="0"/>
      <w:marTop w:val="0"/>
      <w:marBottom w:val="0"/>
      <w:divBdr>
        <w:top w:val="none" w:sz="0" w:space="0" w:color="auto"/>
        <w:left w:val="none" w:sz="0" w:space="0" w:color="auto"/>
        <w:bottom w:val="none" w:sz="0" w:space="0" w:color="auto"/>
        <w:right w:val="none" w:sz="0" w:space="0" w:color="auto"/>
      </w:divBdr>
    </w:div>
    <w:div w:id="1159267655">
      <w:bodyDiv w:val="1"/>
      <w:marLeft w:val="0"/>
      <w:marRight w:val="0"/>
      <w:marTop w:val="0"/>
      <w:marBottom w:val="0"/>
      <w:divBdr>
        <w:top w:val="none" w:sz="0" w:space="0" w:color="auto"/>
        <w:left w:val="none" w:sz="0" w:space="0" w:color="auto"/>
        <w:bottom w:val="none" w:sz="0" w:space="0" w:color="auto"/>
        <w:right w:val="none" w:sz="0" w:space="0" w:color="auto"/>
      </w:divBdr>
    </w:div>
    <w:div w:id="1214347447">
      <w:bodyDiv w:val="1"/>
      <w:marLeft w:val="0"/>
      <w:marRight w:val="0"/>
      <w:marTop w:val="0"/>
      <w:marBottom w:val="0"/>
      <w:divBdr>
        <w:top w:val="none" w:sz="0" w:space="0" w:color="auto"/>
        <w:left w:val="none" w:sz="0" w:space="0" w:color="auto"/>
        <w:bottom w:val="none" w:sz="0" w:space="0" w:color="auto"/>
        <w:right w:val="none" w:sz="0" w:space="0" w:color="auto"/>
      </w:divBdr>
    </w:div>
    <w:div w:id="1316375002">
      <w:bodyDiv w:val="1"/>
      <w:marLeft w:val="0"/>
      <w:marRight w:val="0"/>
      <w:marTop w:val="0"/>
      <w:marBottom w:val="0"/>
      <w:divBdr>
        <w:top w:val="none" w:sz="0" w:space="0" w:color="auto"/>
        <w:left w:val="none" w:sz="0" w:space="0" w:color="auto"/>
        <w:bottom w:val="none" w:sz="0" w:space="0" w:color="auto"/>
        <w:right w:val="none" w:sz="0" w:space="0" w:color="auto"/>
      </w:divBdr>
    </w:div>
    <w:div w:id="1447310852">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544059457">
      <w:bodyDiv w:val="1"/>
      <w:marLeft w:val="0"/>
      <w:marRight w:val="0"/>
      <w:marTop w:val="0"/>
      <w:marBottom w:val="0"/>
      <w:divBdr>
        <w:top w:val="none" w:sz="0" w:space="0" w:color="auto"/>
        <w:left w:val="none" w:sz="0" w:space="0" w:color="auto"/>
        <w:bottom w:val="none" w:sz="0" w:space="0" w:color="auto"/>
        <w:right w:val="none" w:sz="0" w:space="0" w:color="auto"/>
      </w:divBdr>
    </w:div>
    <w:div w:id="1580670504">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32710785">
      <w:bodyDiv w:val="1"/>
      <w:marLeft w:val="0"/>
      <w:marRight w:val="0"/>
      <w:marTop w:val="0"/>
      <w:marBottom w:val="0"/>
      <w:divBdr>
        <w:top w:val="none" w:sz="0" w:space="0" w:color="auto"/>
        <w:left w:val="none" w:sz="0" w:space="0" w:color="auto"/>
        <w:bottom w:val="none" w:sz="0" w:space="0" w:color="auto"/>
        <w:right w:val="none" w:sz="0" w:space="0" w:color="auto"/>
      </w:divBdr>
    </w:div>
    <w:div w:id="1663268282">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11241408">
      <w:bodyDiv w:val="1"/>
      <w:marLeft w:val="0"/>
      <w:marRight w:val="0"/>
      <w:marTop w:val="0"/>
      <w:marBottom w:val="0"/>
      <w:divBdr>
        <w:top w:val="none" w:sz="0" w:space="0" w:color="auto"/>
        <w:left w:val="none" w:sz="0" w:space="0" w:color="auto"/>
        <w:bottom w:val="none" w:sz="0" w:space="0" w:color="auto"/>
        <w:right w:val="none" w:sz="0" w:space="0" w:color="auto"/>
      </w:divBdr>
    </w:div>
    <w:div w:id="186444176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82297945">
      <w:bodyDiv w:val="1"/>
      <w:marLeft w:val="0"/>
      <w:marRight w:val="0"/>
      <w:marTop w:val="0"/>
      <w:marBottom w:val="0"/>
      <w:divBdr>
        <w:top w:val="none" w:sz="0" w:space="0" w:color="auto"/>
        <w:left w:val="none" w:sz="0" w:space="0" w:color="auto"/>
        <w:bottom w:val="none" w:sz="0" w:space="0" w:color="auto"/>
        <w:right w:val="none" w:sz="0" w:space="0" w:color="auto"/>
      </w:divBdr>
    </w:div>
    <w:div w:id="2060738788">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JOKSIMOVIĆ, Predrag</Reference>
    <Case_x0020_Year xmlns="63130c8a-8d1f-4e28-8ee3-43603ca9ef3b">2009</Case_x0020_Year>
    <Case_x0020_Status xmlns="16f2acb5-7363-4076-9084-069fc3bb4325">CASE CLOSED</Case_x0020_Status>
    <Date_x0020_of_x0020_Adoption xmlns="16f2acb5-7363-4076-9084-069fc3bb4325">2015-12-10T23:00:00+00:00</Date_x0020_of_x0020_Adoption>
    <Case_x0020_Number xmlns="16f2acb5-7363-4076-9084-069fc3bb4325">283/09</Case_x0020_Number>
    <Type_x0020_of_x0020_Document xmlns="16f2acb5-7363-4076-9084-069fc3bb4325">Opinion</Type_x0020_of_x0020_Document>
    <_dlc_DocId xmlns="b9fab99d-1571-47f6-8995-3a195ef041f8">M5JDUUKXSQ5W-25-1157</_dlc_DocId>
    <_dlc_DocIdUrl xmlns="b9fab99d-1571-47f6-8995-3a195ef041f8">
      <Url>http://www.unmikonline.org/hrap/Eng/_layouts/DocIdRedir.aspx?ID=M5JDUUKXSQ5W-25-1157</Url>
      <Description>M5JDUUKXSQ5W-25-1157</Description>
    </_dlc_DocIdUrl>
  </documentManagement>
</p:properties>
</file>

<file path=customXml/itemProps1.xml><?xml version="1.0" encoding="utf-8"?>
<ds:datastoreItem xmlns:ds="http://schemas.openxmlformats.org/officeDocument/2006/customXml" ds:itemID="{092C62C0-EA60-4C2F-B21F-0A26F1EE60AB}"/>
</file>

<file path=customXml/itemProps2.xml><?xml version="1.0" encoding="utf-8"?>
<ds:datastoreItem xmlns:ds="http://schemas.openxmlformats.org/officeDocument/2006/customXml" ds:itemID="{421781AC-5A6A-4602-9987-073034771AB1}"/>
</file>

<file path=customXml/itemProps3.xml><?xml version="1.0" encoding="utf-8"?>
<ds:datastoreItem xmlns:ds="http://schemas.openxmlformats.org/officeDocument/2006/customXml" ds:itemID="{C196056F-FB00-433A-8117-C7893ED0FF9A}"/>
</file>

<file path=customXml/itemProps4.xml><?xml version="1.0" encoding="utf-8"?>
<ds:datastoreItem xmlns:ds="http://schemas.openxmlformats.org/officeDocument/2006/customXml" ds:itemID="{CA92C198-0B0B-42AF-8BD5-E1C6F106EAED}"/>
</file>

<file path=customXml/itemProps5.xml><?xml version="1.0" encoding="utf-8"?>
<ds:datastoreItem xmlns:ds="http://schemas.openxmlformats.org/officeDocument/2006/customXml" ds:itemID="{AF29DBF4-5AEE-4B97-956A-CAB41EC29235}"/>
</file>

<file path=docProps/app.xml><?xml version="1.0" encoding="utf-8"?>
<Properties xmlns="http://schemas.openxmlformats.org/officeDocument/2006/extended-properties" xmlns:vt="http://schemas.openxmlformats.org/officeDocument/2006/docPropsVTypes">
  <Template>Normal</Template>
  <TotalTime>0</TotalTime>
  <Pages>25</Pages>
  <Words>11218</Words>
  <Characters>63945</Characters>
  <Application>Microsoft Office Word</Application>
  <DocSecurity>0</DocSecurity>
  <Lines>532</Lines>
  <Paragraphs>150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75013</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2016-02-02T14:21:00Z</cp:lastPrinted>
  <dcterms:created xsi:type="dcterms:W3CDTF">2016-02-26T08:47:00Z</dcterms:created>
  <dcterms:modified xsi:type="dcterms:W3CDTF">2016-02-26T08:47:00Z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4397b274-51a9-4d3c-8674-5d2de3b5bb8c</vt:lpwstr>
  </property>
</Properties>
</file>